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Fleet Maintenance Strategy 2026–2030</w:t>
      </w:r>
    </w:p>
    <w:p>
      <w:r>
        <w:rPr>
          <w:color w:val="1FA2A6"/>
          <w:sz w:val="25"/>
        </w:rPr>
        <w:t>Asset Operations</w:t>
      </w:r>
    </w:p>
    <w:p>
      <w:pPr>
        <w:pBdr>
          <w:bottom w:val="single" w:sz="12" w:space="6" w:color="1FA2A6"/>
        </w:pBdr>
      </w:pPr>
      <w:r>
        <w:rPr>
          <w:color w:val="4A5A68"/>
          <w:sz w:val="18"/>
        </w:rPr>
        <w:t>David Chen  ·  08 May 2026  ·  OPS-STR-0002</w:t>
      </w:r>
    </w:p>
    <w:p>
      <w:pPr>
        <w:pStyle w:val="Heading1"/>
      </w:pPr>
      <w:r>
        <w:t>1. Purpose</w:t>
      </w:r>
    </w:p>
    <w:p>
      <w:r>
        <w:t>This strategy sets out how Weyland maintains its operating fleet of 13 assets (1,100 MW of onshore wind and solar PV in the UK, Germany and Denmark) between 2026 and 2030, and how we prepare for Harrow Bay Offshore Wind (480 MW, COD planned 30 June 2028). It replaces the 2023 strategy and takes into account the lessons from the Kestrel Ridge T-07 gearbox failure.</w:t>
      </w:r>
    </w:p>
    <w:p>
      <w:pPr>
        <w:pStyle w:val="Heading1"/>
      </w:pPr>
      <w:r>
        <w:t>2. Principles</w:t>
      </w:r>
    </w:p>
    <w:p>
      <w:pPr>
        <w:pStyle w:val="ListBullet"/>
      </w:pPr>
      <w:r>
        <w:rPr>
          <w:b/>
        </w:rPr>
        <w:t>Safety first</w:t>
      </w:r>
      <w:r>
        <w:t xml:space="preserve"> – no maintenance task is so urgent that it cannot be done safely.</w:t>
      </w:r>
    </w:p>
    <w:p>
      <w:pPr>
        <w:pStyle w:val="ListBullet"/>
      </w:pPr>
      <w:r>
        <w:rPr>
          <w:b/>
        </w:rPr>
        <w:t>Condition-based where it pays</w:t>
      </w:r>
      <w:r>
        <w:t xml:space="preserve"> – drive trains, blades, transformers and inverters are maintained on condition; everything else on fixed intervals.</w:t>
      </w:r>
    </w:p>
    <w:p>
      <w:pPr>
        <w:pStyle w:val="ListBullet"/>
      </w:pPr>
      <w:r>
        <w:rPr>
          <w:b/>
        </w:rPr>
        <w:t>Own the data</w:t>
      </w:r>
      <w:r>
        <w:t xml:space="preserve"> – SCADA, CMS and oil analysis data belong to Weyland, regardless of the service contract.</w:t>
      </w:r>
    </w:p>
    <w:p>
      <w:pPr>
        <w:pStyle w:val="ListBullet"/>
      </w:pPr>
      <w:r>
        <w:rPr>
          <w:b/>
        </w:rPr>
        <w:t>Right contract model for the asset age</w:t>
      </w:r>
      <w:r>
        <w:t xml:space="preserve"> – full service during warranty, then a deliberate choice between OEM, ISP and self-perform.</w:t>
      </w:r>
    </w:p>
    <w:p>
      <w:pPr>
        <w:pStyle w:val="ListBullet"/>
      </w:pPr>
      <w:r>
        <w:rPr>
          <w:b/>
        </w:rPr>
        <w:t>Fleet learning</w:t>
      </w:r>
      <w:r>
        <w:t xml:space="preserve"> – every major failure triggers a fleet-wide check within 30 days.</w:t>
      </w:r>
    </w:p>
    <w:p>
      <w:pPr>
        <w:pStyle w:val="Heading1"/>
      </w:pPr>
      <w:r>
        <w:t>3. Contract models by asset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Asset</w:t>
            </w:r>
          </w:p>
        </w:tc>
        <w:tc>
          <w:tcPr>
            <w:tcW w:type="dxa" w:w="1882"/>
            <w:shd w:val="clear" w:color="auto" w:fill="0B3C5D"/>
          </w:tcPr>
          <w:p>
            <w:r/>
            <w:r>
              <w:rPr>
                <w:b/>
                <w:color w:val="FFFFFF"/>
                <w:sz w:val="18"/>
              </w:rPr>
              <w:t>Age (2026)</w:t>
            </w:r>
          </w:p>
        </w:tc>
        <w:tc>
          <w:tcPr>
            <w:tcW w:type="dxa" w:w="1882"/>
            <w:shd w:val="clear" w:color="auto" w:fill="0B3C5D"/>
          </w:tcPr>
          <w:p>
            <w:r/>
            <w:r>
              <w:rPr>
                <w:b/>
                <w:color w:val="FFFFFF"/>
                <w:sz w:val="18"/>
              </w:rPr>
              <w:t>Current model</w:t>
            </w:r>
          </w:p>
        </w:tc>
        <w:tc>
          <w:tcPr>
            <w:tcW w:type="dxa" w:w="1882"/>
            <w:shd w:val="clear" w:color="auto" w:fill="0B3C5D"/>
          </w:tcPr>
          <w:p>
            <w:r/>
            <w:r>
              <w:rPr>
                <w:b/>
                <w:color w:val="FFFFFF"/>
                <w:sz w:val="18"/>
              </w:rPr>
              <w:t>Decision point</w:t>
            </w:r>
          </w:p>
        </w:tc>
        <w:tc>
          <w:tcPr>
            <w:tcW w:type="dxa" w:w="1882"/>
            <w:shd w:val="clear" w:color="auto" w:fill="0B3C5D"/>
          </w:tcPr>
          <w:p>
            <w:r/>
            <w:r>
              <w:rPr>
                <w:b/>
                <w:color w:val="FFFFFF"/>
                <w:sz w:val="18"/>
              </w:rPr>
              <w:t>Preferred next model</w:t>
            </w:r>
          </w:p>
        </w:tc>
      </w:tr>
      <w:tr>
        <w:tc>
          <w:tcPr>
            <w:tcW w:type="dxa" w:w="1882"/>
          </w:tcPr>
          <w:p>
            <w:r/>
            <w:r>
              <w:rPr>
                <w:sz w:val="18"/>
              </w:rPr>
              <w:t>Kestrel Ridge</w:t>
            </w:r>
          </w:p>
        </w:tc>
        <w:tc>
          <w:tcPr>
            <w:tcW w:type="dxa" w:w="1882"/>
          </w:tcPr>
          <w:p>
            <w:r/>
            <w:r>
              <w:rPr>
                <w:sz w:val="18"/>
              </w:rPr>
              <w:t>2</w:t>
            </w:r>
          </w:p>
        </w:tc>
        <w:tc>
          <w:tcPr>
            <w:tcW w:type="dxa" w:w="1882"/>
          </w:tcPr>
          <w:p>
            <w:r/>
            <w:r>
              <w:rPr>
                <w:sz w:val="18"/>
              </w:rPr>
              <w:t>Full service – Highline Wind Services</w:t>
            </w:r>
          </w:p>
        </w:tc>
        <w:tc>
          <w:tcPr>
            <w:tcW w:type="dxa" w:w="1882"/>
          </w:tcPr>
          <w:p>
            <w:r/>
            <w:r>
              <w:rPr>
                <w:sz w:val="18"/>
              </w:rPr>
              <w:t>2034 (end of term)</w:t>
            </w:r>
          </w:p>
        </w:tc>
        <w:tc>
          <w:tcPr>
            <w:tcW w:type="dxa" w:w="1882"/>
          </w:tcPr>
          <w:p>
            <w:r/>
            <w:r>
              <w:rPr>
                <w:sz w:val="18"/>
              </w:rPr>
              <w:t>Extend or ISP</w:t>
            </w:r>
          </w:p>
        </w:tc>
      </w:tr>
      <w:tr>
        <w:tc>
          <w:tcPr>
            <w:tcW w:type="dxa" w:w="1882"/>
            <w:shd w:val="clear" w:color="auto" w:fill="EEF3F6"/>
          </w:tcPr>
          <w:p>
            <w:r/>
            <w:r>
              <w:rPr>
                <w:sz w:val="18"/>
              </w:rPr>
              <w:t>Skerrow Moor</w:t>
            </w:r>
          </w:p>
        </w:tc>
        <w:tc>
          <w:tcPr>
            <w:tcW w:type="dxa" w:w="1882"/>
            <w:shd w:val="clear" w:color="auto" w:fill="EEF3F6"/>
          </w:tcPr>
          <w:p>
            <w:r/>
            <w:r>
              <w:rPr>
                <w:sz w:val="18"/>
              </w:rPr>
              <w:t>10</w:t>
            </w:r>
          </w:p>
        </w:tc>
        <w:tc>
          <w:tcPr>
            <w:tcW w:type="dxa" w:w="1882"/>
            <w:shd w:val="clear" w:color="auto" w:fill="EEF3F6"/>
          </w:tcPr>
          <w:p>
            <w:r/>
            <w:r>
              <w:rPr>
                <w:sz w:val="18"/>
              </w:rPr>
              <w:t>Full service – OEM</w:t>
            </w:r>
          </w:p>
        </w:tc>
        <w:tc>
          <w:tcPr>
            <w:tcW w:type="dxa" w:w="1882"/>
            <w:shd w:val="clear" w:color="auto" w:fill="EEF3F6"/>
          </w:tcPr>
          <w:p>
            <w:r/>
            <w:r>
              <w:rPr>
                <w:sz w:val="18"/>
              </w:rPr>
              <w:t>2027-12</w:t>
            </w:r>
          </w:p>
        </w:tc>
        <w:tc>
          <w:tcPr>
            <w:tcW w:type="dxa" w:w="1882"/>
            <w:shd w:val="clear" w:color="auto" w:fill="EEF3F6"/>
          </w:tcPr>
          <w:p>
            <w:r/>
            <w:r>
              <w:rPr>
                <w:sz w:val="18"/>
              </w:rPr>
              <w:t>ISP with major component insurance</w:t>
            </w:r>
          </w:p>
        </w:tc>
      </w:tr>
      <w:tr>
        <w:tc>
          <w:tcPr>
            <w:tcW w:type="dxa" w:w="1882"/>
          </w:tcPr>
          <w:p>
            <w:r/>
            <w:r>
              <w:rPr>
                <w:sz w:val="18"/>
              </w:rPr>
              <w:t>Dunmore Hill</w:t>
            </w:r>
          </w:p>
        </w:tc>
        <w:tc>
          <w:tcPr>
            <w:tcW w:type="dxa" w:w="1882"/>
          </w:tcPr>
          <w:p>
            <w:r/>
            <w:r>
              <w:rPr>
                <w:sz w:val="18"/>
              </w:rPr>
              <w:t>12</w:t>
            </w:r>
          </w:p>
        </w:tc>
        <w:tc>
          <w:tcPr>
            <w:tcW w:type="dxa" w:w="1882"/>
          </w:tcPr>
          <w:p>
            <w:r/>
            <w:r>
              <w:rPr>
                <w:sz w:val="18"/>
              </w:rPr>
              <w:t>Self-perform + specialist</w:t>
            </w:r>
          </w:p>
        </w:tc>
        <w:tc>
          <w:tcPr>
            <w:tcW w:type="dxa" w:w="1882"/>
          </w:tcPr>
          <w:p>
            <w:r/>
            <w:r>
              <w:rPr>
                <w:sz w:val="18"/>
              </w:rPr>
              <w:t>–</w:t>
            </w:r>
          </w:p>
        </w:tc>
        <w:tc>
          <w:tcPr>
            <w:tcW w:type="dxa" w:w="1882"/>
          </w:tcPr>
          <w:p>
            <w:r/>
            <w:r>
              <w:rPr>
                <w:sz w:val="18"/>
              </w:rPr>
              <w:t>Self-perform; repowering study 2028</w:t>
            </w:r>
          </w:p>
        </w:tc>
      </w:tr>
      <w:tr>
        <w:tc>
          <w:tcPr>
            <w:tcW w:type="dxa" w:w="1882"/>
            <w:shd w:val="clear" w:color="auto" w:fill="EEF3F6"/>
          </w:tcPr>
          <w:p>
            <w:r/>
            <w:r>
              <w:rPr>
                <w:sz w:val="18"/>
              </w:rPr>
              <w:t>Glenquey</w:t>
            </w:r>
          </w:p>
        </w:tc>
        <w:tc>
          <w:tcPr>
            <w:tcW w:type="dxa" w:w="1882"/>
            <w:shd w:val="clear" w:color="auto" w:fill="EEF3F6"/>
          </w:tcPr>
          <w:p>
            <w:r/>
            <w:r>
              <w:rPr>
                <w:sz w:val="18"/>
              </w:rPr>
              <w:t>7</w:t>
            </w:r>
          </w:p>
        </w:tc>
        <w:tc>
          <w:tcPr>
            <w:tcW w:type="dxa" w:w="1882"/>
            <w:shd w:val="clear" w:color="auto" w:fill="EEF3F6"/>
          </w:tcPr>
          <w:p>
            <w:r/>
            <w:r>
              <w:rPr>
                <w:sz w:val="18"/>
              </w:rPr>
              <w:t>Full service – OEM</w:t>
            </w:r>
          </w:p>
        </w:tc>
        <w:tc>
          <w:tcPr>
            <w:tcW w:type="dxa" w:w="1882"/>
            <w:shd w:val="clear" w:color="auto" w:fill="EEF3F6"/>
          </w:tcPr>
          <w:p>
            <w:r/>
            <w:r>
              <w:rPr>
                <w:sz w:val="18"/>
              </w:rPr>
              <w:t>2029-06</w:t>
            </w:r>
          </w:p>
        </w:tc>
        <w:tc>
          <w:tcPr>
            <w:tcW w:type="dxa" w:w="1882"/>
            <w:shd w:val="clear" w:color="auto" w:fill="EEF3F6"/>
          </w:tcPr>
          <w:p>
            <w:r/>
            <w:r>
              <w:rPr>
                <w:sz w:val="18"/>
              </w:rPr>
              <w:t>Retender</w:t>
            </w:r>
          </w:p>
        </w:tc>
      </w:tr>
      <w:tr>
        <w:tc>
          <w:tcPr>
            <w:tcW w:type="dxa" w:w="1882"/>
          </w:tcPr>
          <w:p>
            <w:r/>
            <w:r>
              <w:rPr>
                <w:sz w:val="18"/>
              </w:rPr>
              <w:t>German wind (5 parks, 520 MW)</w:t>
            </w:r>
          </w:p>
        </w:tc>
        <w:tc>
          <w:tcPr>
            <w:tcW w:type="dxa" w:w="1882"/>
          </w:tcPr>
          <w:p>
            <w:r/>
            <w:r>
              <w:rPr>
                <w:sz w:val="18"/>
              </w:rPr>
              <w:t>5–11</w:t>
            </w:r>
          </w:p>
        </w:tc>
        <w:tc>
          <w:tcPr>
            <w:tcW w:type="dxa" w:w="1882"/>
          </w:tcPr>
          <w:p>
            <w:r/>
            <w:r>
              <w:rPr>
                <w:sz w:val="18"/>
              </w:rPr>
              <w:t>OEM / self-perform</w:t>
            </w:r>
          </w:p>
        </w:tc>
        <w:tc>
          <w:tcPr>
            <w:tcW w:type="dxa" w:w="1882"/>
          </w:tcPr>
          <w:p>
            <w:r/>
            <w:r>
              <w:rPr>
                <w:sz w:val="18"/>
              </w:rPr>
              <w:t>2027–2030</w:t>
            </w:r>
          </w:p>
        </w:tc>
        <w:tc>
          <w:tcPr>
            <w:tcW w:type="dxa" w:w="1882"/>
          </w:tcPr>
          <w:p>
            <w:r/>
            <w:r>
              <w:rPr>
                <w:sz w:val="18"/>
              </w:rPr>
              <w:t>Bundle German wind into one ISP tender</w:t>
            </w:r>
          </w:p>
        </w:tc>
      </w:tr>
      <w:tr>
        <w:tc>
          <w:tcPr>
            <w:tcW w:type="dxa" w:w="1882"/>
            <w:shd w:val="clear" w:color="auto" w:fill="EEF3F6"/>
          </w:tcPr>
          <w:p>
            <w:r/>
            <w:r>
              <w:rPr>
                <w:sz w:val="18"/>
              </w:rPr>
              <w:t>Thy Vest</w:t>
            </w:r>
          </w:p>
        </w:tc>
        <w:tc>
          <w:tcPr>
            <w:tcW w:type="dxa" w:w="1882"/>
            <w:shd w:val="clear" w:color="auto" w:fill="EEF3F6"/>
          </w:tcPr>
          <w:p>
            <w:r/>
            <w:r>
              <w:rPr>
                <w:sz w:val="18"/>
              </w:rPr>
              <w:t>8</w:t>
            </w:r>
          </w:p>
        </w:tc>
        <w:tc>
          <w:tcPr>
            <w:tcW w:type="dxa" w:w="1882"/>
            <w:shd w:val="clear" w:color="auto" w:fill="EEF3F6"/>
          </w:tcPr>
          <w:p>
            <w:r/>
            <w:r>
              <w:rPr>
                <w:sz w:val="18"/>
              </w:rPr>
              <w:t>Full service – OEM</w:t>
            </w:r>
          </w:p>
        </w:tc>
        <w:tc>
          <w:tcPr>
            <w:tcW w:type="dxa" w:w="1882"/>
            <w:shd w:val="clear" w:color="auto" w:fill="EEF3F6"/>
          </w:tcPr>
          <w:p>
            <w:r/>
            <w:r>
              <w:rPr>
                <w:sz w:val="18"/>
              </w:rPr>
              <w:t>2028-03</w:t>
            </w:r>
          </w:p>
        </w:tc>
        <w:tc>
          <w:tcPr>
            <w:tcW w:type="dxa" w:w="1882"/>
            <w:shd w:val="clear" w:color="auto" w:fill="EEF3F6"/>
          </w:tcPr>
          <w:p>
            <w:r/>
            <w:r>
              <w:rPr>
                <w:sz w:val="18"/>
              </w:rPr>
              <w:t>OEM extension (good performance)</w:t>
            </w:r>
          </w:p>
        </w:tc>
      </w:tr>
      <w:tr>
        <w:tc>
          <w:tcPr>
            <w:tcW w:type="dxa" w:w="1882"/>
          </w:tcPr>
          <w:p>
            <w:r/>
            <w:r>
              <w:rPr>
                <w:sz w:val="18"/>
              </w:rPr>
              <w:t>Ringkøbing</w:t>
            </w:r>
          </w:p>
        </w:tc>
        <w:tc>
          <w:tcPr>
            <w:tcW w:type="dxa" w:w="1882"/>
          </w:tcPr>
          <w:p>
            <w:r/>
            <w:r>
              <w:rPr>
                <w:sz w:val="18"/>
              </w:rPr>
              <w:t>13</w:t>
            </w:r>
          </w:p>
        </w:tc>
        <w:tc>
          <w:tcPr>
            <w:tcW w:type="dxa" w:w="1882"/>
          </w:tcPr>
          <w:p>
            <w:r/>
            <w:r>
              <w:rPr>
                <w:sz w:val="18"/>
              </w:rPr>
              <w:t>Self-perform + specialist</w:t>
            </w:r>
          </w:p>
        </w:tc>
        <w:tc>
          <w:tcPr>
            <w:tcW w:type="dxa" w:w="1882"/>
          </w:tcPr>
          <w:p>
            <w:r/>
            <w:r>
              <w:rPr>
                <w:sz w:val="18"/>
              </w:rPr>
              <w:t>–</w:t>
            </w:r>
          </w:p>
        </w:tc>
        <w:tc>
          <w:tcPr>
            <w:tcW w:type="dxa" w:w="1882"/>
          </w:tcPr>
          <w:p>
            <w:r/>
            <w:r>
              <w:rPr>
                <w:sz w:val="18"/>
              </w:rPr>
              <w:t>Repowering study 2027</w:t>
            </w:r>
          </w:p>
        </w:tc>
      </w:tr>
      <w:tr>
        <w:tc>
          <w:tcPr>
            <w:tcW w:type="dxa" w:w="1882"/>
            <w:shd w:val="clear" w:color="auto" w:fill="EEF3F6"/>
          </w:tcPr>
          <w:p>
            <w:r/>
            <w:r>
              <w:rPr>
                <w:sz w:val="18"/>
              </w:rPr>
              <w:t>Solar PV (Uckermark, Lüneburger Heide)</w:t>
            </w:r>
          </w:p>
        </w:tc>
        <w:tc>
          <w:tcPr>
            <w:tcW w:type="dxa" w:w="1882"/>
            <w:shd w:val="clear" w:color="auto" w:fill="EEF3F6"/>
          </w:tcPr>
          <w:p>
            <w:r/>
            <w:r>
              <w:rPr>
                <w:sz w:val="18"/>
              </w:rPr>
              <w:t>4–6</w:t>
            </w:r>
          </w:p>
        </w:tc>
        <w:tc>
          <w:tcPr>
            <w:tcW w:type="dxa" w:w="1882"/>
            <w:shd w:val="clear" w:color="auto" w:fill="EEF3F6"/>
          </w:tcPr>
          <w:p>
            <w:r/>
            <w:r>
              <w:rPr>
                <w:sz w:val="18"/>
              </w:rPr>
              <w:t>O&amp;M contractor</w:t>
            </w:r>
          </w:p>
        </w:tc>
        <w:tc>
          <w:tcPr>
            <w:tcW w:type="dxa" w:w="1882"/>
            <w:shd w:val="clear" w:color="auto" w:fill="EEF3F6"/>
          </w:tcPr>
          <w:p>
            <w:r/>
            <w:r>
              <w:rPr>
                <w:sz w:val="18"/>
              </w:rPr>
              <w:t>rolling</w:t>
            </w:r>
          </w:p>
        </w:tc>
        <w:tc>
          <w:tcPr>
            <w:tcW w:type="dxa" w:w="1882"/>
            <w:shd w:val="clear" w:color="auto" w:fill="EEF3F6"/>
          </w:tcPr>
          <w:p>
            <w:r/>
            <w:r>
              <w:rPr>
                <w:sz w:val="18"/>
              </w:rPr>
              <w:t>Regional O&amp;M framework Germany</w:t>
            </w:r>
          </w:p>
        </w:tc>
      </w:tr>
      <w:tr>
        <w:tc>
          <w:tcPr>
            <w:tcW w:type="dxa" w:w="1882"/>
          </w:tcPr>
          <w:p>
            <w:r/>
            <w:r>
              <w:rPr>
                <w:sz w:val="18"/>
              </w:rPr>
              <w:t>Harrow Bay (from 2028)</w:t>
            </w:r>
          </w:p>
        </w:tc>
        <w:tc>
          <w:tcPr>
            <w:tcW w:type="dxa" w:w="1882"/>
          </w:tcPr>
          <w:p>
            <w:r/>
            <w:r>
              <w:rPr>
                <w:sz w:val="18"/>
              </w:rPr>
              <w:t>–</w:t>
            </w:r>
          </w:p>
        </w:tc>
        <w:tc>
          <w:tcPr>
            <w:tcW w:type="dxa" w:w="1882"/>
          </w:tcPr>
          <w:p>
            <w:r/>
            <w:r>
              <w:rPr>
                <w:sz w:val="18"/>
              </w:rPr>
              <w:t>OEM warranty-period service (Halden)</w:t>
            </w:r>
          </w:p>
        </w:tc>
        <w:tc>
          <w:tcPr>
            <w:tcW w:type="dxa" w:w="1882"/>
          </w:tcPr>
          <w:p>
            <w:r/>
            <w:r>
              <w:rPr>
                <w:sz w:val="18"/>
              </w:rPr>
              <w:t>2033</w:t>
            </w:r>
          </w:p>
        </w:tc>
        <w:tc>
          <w:tcPr>
            <w:tcW w:type="dxa" w:w="1882"/>
          </w:tcPr>
          <w:p>
            <w:r/>
            <w:r>
              <w:rPr>
                <w:sz w:val="18"/>
              </w:rPr>
              <w:t>See Harrow Bay O&amp;M readiness plan</w:t>
            </w:r>
          </w:p>
        </w:tc>
      </w:tr>
    </w:tbl>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operations-drone-inspection.jp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4A5A68"/>
          <w:sz w:val="17"/>
        </w:rPr>
        <w:t>Drone blade inspection at Kestrel Ridge, August 2026</w:t>
      </w:r>
    </w:p>
    <w:p>
      <w:pPr>
        <w:pStyle w:val="Heading1"/>
      </w:pPr>
      <w:r>
        <w:t>4. Wind: drive train and blades</w:t>
      </w:r>
    </w:p>
    <w:p>
      <w:r>
        <w:t>All wind turbines will have vibration CMS with Weyland-owned thresholds by the end of 2026. After the T-07 failure we lowered the kurtosis alarm threshold for ISS bearings from 4.5 to 3.8 and added an escalation rule: any 'watch' oil result triggers an endoscope inspection within four weeks. Oil is sampled every three months on all gearboxes older than one year.</w:t>
      </w:r>
    </w:p>
    <w:p>
      <w:r>
        <w:t>Blades are inspected by drone every year and by rope access every three years. Leading edge erosion of Category 3 or worse is repaired in the following summer; we budget EUR 3,300 per blade per year for leading edge protection across the fleet.</w:t>
      </w:r>
    </w:p>
    <w:p>
      <w:pPr>
        <w:pStyle w:val="Heading1"/>
      </w:pPr>
      <w:r>
        <w:t>5. Solar and storage</w:t>
      </w:r>
    </w:p>
    <w:p>
      <w:pPr>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operations-solar-maintenance.jpg"/>
                    <pic:cNvPicPr/>
                  </pic:nvPicPr>
                  <pic:blipFill>
                    <a:blip r:embed="rId12"/>
                    <a:stretch>
                      <a:fillRect/>
                    </a:stretch>
                  </pic:blipFill>
                  <pic:spPr>
                    <a:xfrm>
                      <a:off x="0" y="0"/>
                      <a:ext cx="4320000" cy="2880000"/>
                    </a:xfrm>
                    <a:prstGeom prst="rect"/>
                  </pic:spPr>
                </pic:pic>
              </a:graphicData>
            </a:graphic>
          </wp:inline>
        </w:drawing>
      </w:r>
    </w:p>
    <w:p>
      <w:pPr>
        <w:jc w:val="center"/>
      </w:pPr>
      <w:r>
        <w:rPr>
          <w:i/>
          <w:color w:val="4A5A68"/>
          <w:sz w:val="17"/>
        </w:rPr>
        <w:t>Inverter inspection at Uckermark Solarpark</w:t>
      </w:r>
    </w:p>
    <w:p>
      <w:r>
        <w:t>For the solar parks the main availability drivers are central inverters and medium-voltage stations. We keep one spare inverter power stack per park type and one spare MV transformer for the German parks. Module cleaning is done only where soiling losses exceed 2 % (currently none). Thermography by drone is done annually in June.</w:t>
      </w:r>
    </w:p>
    <w:p>
      <w:r>
        <w:t>Battery storage will join the fleet with Millbrook Solar &amp; Storage and Fenwick Battery Storage. Asset Operations is involved in the design reviews to secure Weyland-owned BMS data, a long-term service agreement with the integrator, and remote monitoring from the Edinburgh control centre from day one.</w:t>
      </w:r>
    </w:p>
    <w:p>
      <w:pPr>
        <w:pStyle w:val="Heading1"/>
      </w:pPr>
      <w:r>
        <w:t>6. KPIs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KPI</w:t>
            </w:r>
          </w:p>
        </w:tc>
        <w:tc>
          <w:tcPr>
            <w:tcW w:type="dxa" w:w="2353"/>
            <w:shd w:val="clear" w:color="auto" w:fill="0B3C5D"/>
          </w:tcPr>
          <w:p>
            <w:r/>
            <w:r>
              <w:rPr>
                <w:b/>
                <w:color w:val="FFFFFF"/>
                <w:sz w:val="18"/>
              </w:rPr>
              <w:t>2025 actual</w:t>
            </w:r>
          </w:p>
        </w:tc>
        <w:tc>
          <w:tcPr>
            <w:tcW w:type="dxa" w:w="2353"/>
            <w:shd w:val="clear" w:color="auto" w:fill="0B3C5D"/>
          </w:tcPr>
          <w:p>
            <w:r/>
            <w:r>
              <w:rPr>
                <w:b/>
                <w:color w:val="FFFFFF"/>
                <w:sz w:val="18"/>
              </w:rPr>
              <w:t>Target 2026</w:t>
            </w:r>
          </w:p>
        </w:tc>
        <w:tc>
          <w:tcPr>
            <w:tcW w:type="dxa" w:w="2353"/>
            <w:shd w:val="clear" w:color="auto" w:fill="0B3C5D"/>
          </w:tcPr>
          <w:p>
            <w:r/>
            <w:r>
              <w:rPr>
                <w:b/>
                <w:color w:val="FFFFFF"/>
                <w:sz w:val="18"/>
              </w:rPr>
              <w:t>Target 2030</w:t>
            </w:r>
          </w:p>
        </w:tc>
      </w:tr>
      <w:tr>
        <w:tc>
          <w:tcPr>
            <w:tcW w:type="dxa" w:w="2353"/>
          </w:tcPr>
          <w:p>
            <w:r/>
            <w:r>
              <w:rPr>
                <w:sz w:val="18"/>
              </w:rPr>
              <w:t>Wind time-based availability</w:t>
            </w:r>
          </w:p>
        </w:tc>
        <w:tc>
          <w:tcPr>
            <w:tcW w:type="dxa" w:w="2353"/>
          </w:tcPr>
          <w:p>
            <w:r/>
            <w:r>
              <w:rPr>
                <w:sz w:val="18"/>
              </w:rPr>
              <w:t>97.1 %</w:t>
            </w:r>
          </w:p>
        </w:tc>
        <w:tc>
          <w:tcPr>
            <w:tcW w:type="dxa" w:w="2353"/>
          </w:tcPr>
          <w:p>
            <w:r/>
            <w:r>
              <w:rPr>
                <w:sz w:val="18"/>
              </w:rPr>
              <w:t>97.0 %</w:t>
            </w:r>
          </w:p>
        </w:tc>
        <w:tc>
          <w:tcPr>
            <w:tcW w:type="dxa" w:w="2353"/>
          </w:tcPr>
          <w:p>
            <w:r/>
            <w:r>
              <w:rPr>
                <w:sz w:val="18"/>
              </w:rPr>
              <w:t>97.5 %</w:t>
            </w:r>
          </w:p>
        </w:tc>
      </w:tr>
      <w:tr>
        <w:tc>
          <w:tcPr>
            <w:tcW w:type="dxa" w:w="2353"/>
            <w:shd w:val="clear" w:color="auto" w:fill="EEF3F6"/>
          </w:tcPr>
          <w:p>
            <w:r/>
            <w:r>
              <w:rPr>
                <w:sz w:val="18"/>
              </w:rPr>
              <w:t>Solar availability</w:t>
            </w:r>
          </w:p>
        </w:tc>
        <w:tc>
          <w:tcPr>
            <w:tcW w:type="dxa" w:w="2353"/>
            <w:shd w:val="clear" w:color="auto" w:fill="EEF3F6"/>
          </w:tcPr>
          <w:p>
            <w:r/>
            <w:r>
              <w:rPr>
                <w:sz w:val="18"/>
              </w:rPr>
              <w:t>99.4 %</w:t>
            </w:r>
          </w:p>
        </w:tc>
        <w:tc>
          <w:tcPr>
            <w:tcW w:type="dxa" w:w="2353"/>
            <w:shd w:val="clear" w:color="auto" w:fill="EEF3F6"/>
          </w:tcPr>
          <w:p>
            <w:r/>
            <w:r>
              <w:rPr>
                <w:sz w:val="18"/>
              </w:rPr>
              <w:t>99.3 %</w:t>
            </w:r>
          </w:p>
        </w:tc>
        <w:tc>
          <w:tcPr>
            <w:tcW w:type="dxa" w:w="2353"/>
            <w:shd w:val="clear" w:color="auto" w:fill="EEF3F6"/>
          </w:tcPr>
          <w:p>
            <w:r/>
            <w:r>
              <w:rPr>
                <w:sz w:val="18"/>
              </w:rPr>
              <w:t>99.5 %</w:t>
            </w:r>
          </w:p>
        </w:tc>
      </w:tr>
      <w:tr>
        <w:tc>
          <w:tcPr>
            <w:tcW w:type="dxa" w:w="2353"/>
          </w:tcPr>
          <w:p>
            <w:r/>
            <w:r>
              <w:rPr>
                <w:sz w:val="18"/>
              </w:rPr>
              <w:t>Unplanned major component exchanges per 100 turbines</w:t>
            </w:r>
          </w:p>
        </w:tc>
        <w:tc>
          <w:tcPr>
            <w:tcW w:type="dxa" w:w="2353"/>
          </w:tcPr>
          <w:p>
            <w:r/>
            <w:r>
              <w:rPr>
                <w:sz w:val="18"/>
              </w:rPr>
              <w:t>1.4</w:t>
            </w:r>
          </w:p>
        </w:tc>
        <w:tc>
          <w:tcPr>
            <w:tcW w:type="dxa" w:w="2353"/>
          </w:tcPr>
          <w:p>
            <w:r/>
            <w:r>
              <w:rPr>
                <w:sz w:val="18"/>
              </w:rPr>
              <w:t>&lt; 1.5</w:t>
            </w:r>
          </w:p>
        </w:tc>
        <w:tc>
          <w:tcPr>
            <w:tcW w:type="dxa" w:w="2353"/>
          </w:tcPr>
          <w:p>
            <w:r/>
            <w:r>
              <w:rPr>
                <w:sz w:val="18"/>
              </w:rPr>
              <w:t>&lt; 1.0</w:t>
            </w:r>
          </w:p>
        </w:tc>
      </w:tr>
      <w:tr>
        <w:tc>
          <w:tcPr>
            <w:tcW w:type="dxa" w:w="2353"/>
            <w:shd w:val="clear" w:color="auto" w:fill="EEF3F6"/>
          </w:tcPr>
          <w:p>
            <w:r/>
            <w:r>
              <w:rPr>
                <w:sz w:val="18"/>
              </w:rPr>
              <w:t>OPEX wind (EUR k/MW/yr)</w:t>
            </w:r>
          </w:p>
        </w:tc>
        <w:tc>
          <w:tcPr>
            <w:tcW w:type="dxa" w:w="2353"/>
            <w:shd w:val="clear" w:color="auto" w:fill="EEF3F6"/>
          </w:tcPr>
          <w:p>
            <w:r/>
            <w:r>
              <w:rPr>
                <w:sz w:val="18"/>
              </w:rPr>
              <w:t>58.4</w:t>
            </w:r>
          </w:p>
        </w:tc>
        <w:tc>
          <w:tcPr>
            <w:tcW w:type="dxa" w:w="2353"/>
            <w:shd w:val="clear" w:color="auto" w:fill="EEF3F6"/>
          </w:tcPr>
          <w:p>
            <w:r/>
            <w:r>
              <w:rPr>
                <w:sz w:val="18"/>
              </w:rPr>
              <w:t>59.0</w:t>
            </w:r>
          </w:p>
        </w:tc>
        <w:tc>
          <w:tcPr>
            <w:tcW w:type="dxa" w:w="2353"/>
            <w:shd w:val="clear" w:color="auto" w:fill="EEF3F6"/>
          </w:tcPr>
          <w:p>
            <w:r/>
            <w:r>
              <w:rPr>
                <w:sz w:val="18"/>
              </w:rPr>
              <w:t>55.0</w:t>
            </w:r>
          </w:p>
        </w:tc>
      </w:tr>
      <w:tr>
        <w:tc>
          <w:tcPr>
            <w:tcW w:type="dxa" w:w="2353"/>
          </w:tcPr>
          <w:p>
            <w:r/>
            <w:r>
              <w:rPr>
                <w:sz w:val="18"/>
              </w:rPr>
              <w:t>Corrective work orders closed within 14 days</w:t>
            </w:r>
          </w:p>
        </w:tc>
        <w:tc>
          <w:tcPr>
            <w:tcW w:type="dxa" w:w="2353"/>
          </w:tcPr>
          <w:p>
            <w:r/>
            <w:r>
              <w:rPr>
                <w:sz w:val="18"/>
              </w:rPr>
              <w:t>79 %</w:t>
            </w:r>
          </w:p>
        </w:tc>
        <w:tc>
          <w:tcPr>
            <w:tcW w:type="dxa" w:w="2353"/>
          </w:tcPr>
          <w:p>
            <w:r/>
            <w:r>
              <w:rPr>
                <w:sz w:val="18"/>
              </w:rPr>
              <w:t>85 %</w:t>
            </w:r>
          </w:p>
        </w:tc>
        <w:tc>
          <w:tcPr>
            <w:tcW w:type="dxa" w:w="2353"/>
          </w:tcPr>
          <w:p>
            <w:r/>
            <w:r>
              <w:rPr>
                <w:sz w:val="18"/>
              </w:rPr>
              <w:t>92 %</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Fleet Maintenance Strategy 2026–2030  ·  OPS-STR-0002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Maintenance Strategy 2026–2030</dc:title>
  <dc:subject>Asset Operations</dc:subject>
  <dc:creator>David Chen</dc:creator>
  <cp:keywords>approved</cp:keywords>
  <dc:description>generated by python-docx</dc:description>
  <cp:lastModifiedBy>David Chen</cp:lastModifiedBy>
  <cp:revision>1</cp:revision>
  <dcterms:created xsi:type="dcterms:W3CDTF">2026-02-16T10:00:00Z</dcterms:created>
  <dcterms:modified xsi:type="dcterms:W3CDTF">2026-05-08T10:00:00Z</dcterms:modified>
  <cp:category/>
</cp:coreProperties>
</file>