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Community Engagement Strategy 2026–2028</w:t>
      </w:r>
    </w:p>
    <w:p>
      <w:r>
        <w:rPr>
          <w:color w:val="1FA2A6"/>
          <w:sz w:val="25"/>
        </w:rPr>
        <w:t>Weyland Energy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19 January 2026  ·  WE-CE-STR-0001</w:t>
      </w:r>
    </w:p>
    <w:p>
      <w:pPr>
        <w:pStyle w:val="Heading1"/>
      </w:pPr>
      <w:r>
        <w:t>1. Why we engage</w:t>
      </w:r>
    </w:p>
    <w:p>
      <w:r>
        <w:t>Our projects only succeed if the people who live next to them understand them, can influence them and share in the benefits. Community engagement at Weyland is not a box to tick before a planning application – it starts before the first survey and continues for the life of an asset.</w:t>
      </w:r>
    </w:p>
    <w:p>
      <w:pPr>
        <w:pStyle w:val="Heading1"/>
      </w:pPr>
      <w:r>
        <w:t>2. Principles</w:t>
      </w:r>
    </w:p>
    <w:p>
      <w:pPr>
        <w:pStyle w:val="ListBullet"/>
      </w:pPr>
      <w:r>
        <w:rPr>
          <w:b/>
        </w:rPr>
        <w:t>Early:</w:t>
      </w:r>
      <w:r>
        <w:t xml:space="preserve"> we talk to communities before the design is fixed, so feedback can still change it.</w:t>
      </w:r>
    </w:p>
    <w:p>
      <w:pPr>
        <w:pStyle w:val="ListBullet"/>
      </w:pPr>
      <w:r>
        <w:rPr>
          <w:b/>
        </w:rPr>
        <w:t>Honest:</w:t>
      </w:r>
      <w:r>
        <w:t xml:space="preserve"> we explain the downsides as well as the benefits, and we say when we cannot change something.</w:t>
      </w:r>
    </w:p>
    <w:p>
      <w:pPr>
        <w:pStyle w:val="ListBullet"/>
      </w:pPr>
      <w:r>
        <w:rPr>
          <w:b/>
        </w:rPr>
        <w:t>Visible response:</w:t>
      </w:r>
      <w:r>
        <w:t xml:space="preserve"> every consultation report has a </w:t>
      </w:r>
      <w:r>
        <w:rPr>
          <w:i/>
        </w:rPr>
        <w:t>You said – we did</w:t>
      </w:r>
      <w:r>
        <w:t xml:space="preserve"> table.</w:t>
      </w:r>
    </w:p>
    <w:p>
      <w:pPr>
        <w:pStyle w:val="ListBullet"/>
      </w:pPr>
      <w:r>
        <w:rPr>
          <w:b/>
        </w:rPr>
        <w:t>Shared benefit:</w:t>
      </w:r>
      <w:r>
        <w:t xml:space="preserve"> every project has a community fund, governed locally.</w:t>
      </w:r>
    </w:p>
    <w:p>
      <w:pPr>
        <w:pStyle w:val="ListBullet"/>
      </w:pPr>
      <w:r>
        <w:rPr>
          <w:b/>
        </w:rPr>
        <w:t>Accessible:</w:t>
      </w:r>
      <w:r>
        <w:t xml:space="preserve"> events in the evening and at weekends, online options, large-print and plain-English materials.</w:t>
      </w:r>
    </w:p>
    <w:p>
      <w:pPr>
        <w:pStyle w:val="Heading1"/>
      </w:pPr>
      <w:r>
        <w:t>3. Portfolio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6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32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Focus 2026–2027</w:t>
            </w:r>
          </w:p>
        </w:tc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Lead</w:t>
            </w:r>
          </w:p>
        </w:tc>
      </w:tr>
      <w:tr>
        <w:tc>
          <w:tcPr>
            <w:tcW w:type="dxa" w:w="2163"/>
          </w:tcPr>
          <w:p>
            <w:r/>
            <w:r>
              <w:rPr>
                <w:sz w:val="18"/>
              </w:rPr>
              <w:t>Millbrook Solar &amp; Storage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Permitting</w:t>
            </w:r>
          </w:p>
        </w:tc>
        <w:tc>
          <w:tcPr>
            <w:tcW w:type="dxa" w:w="4327"/>
          </w:tcPr>
          <w:p>
            <w:r/>
            <w:r>
              <w:rPr>
                <w:sz w:val="18"/>
              </w:rPr>
              <w:t>Three consultations, planning determination Q1 2027, set up community fund</w:t>
            </w:r>
          </w:p>
        </w:tc>
        <w:tc>
          <w:tcPr>
            <w:tcW w:type="dxa" w:w="1623"/>
          </w:tcPr>
          <w:p>
            <w:r/>
            <w:r>
              <w:rPr>
                <w:sz w:val="18"/>
              </w:rPr>
              <w:t>Tom Berger</w:t>
            </w:r>
          </w:p>
        </w:tc>
      </w:tr>
      <w:tr>
        <w:tc>
          <w:tcPr>
            <w:tcW w:type="dxa" w:w="2163"/>
            <w:shd w:val="clear" w:color="auto" w:fill="EEF3F6"/>
          </w:tcPr>
          <w:p>
            <w:r/>
            <w:r>
              <w:rPr>
                <w:sz w:val="18"/>
              </w:rPr>
              <w:t>Kestrel Ridge Wind Farm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Operation</w:t>
            </w:r>
          </w:p>
        </w:tc>
        <w:tc>
          <w:tcPr>
            <w:tcW w:type="dxa" w:w="4327"/>
            <w:shd w:val="clear" w:color="auto" w:fill="EEF3F6"/>
          </w:tcPr>
          <w:p>
            <w:r/>
            <w:r>
              <w:rPr>
                <w:sz w:val="18"/>
              </w:rPr>
              <w:t>Community fund (GBP 378,000/yr), school visits, newsletter</w:t>
            </w:r>
          </w:p>
        </w:tc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Grace Mitchell</w:t>
            </w:r>
          </w:p>
        </w:tc>
      </w:tr>
      <w:tr>
        <w:tc>
          <w:tcPr>
            <w:tcW w:type="dxa" w:w="2163"/>
          </w:tcPr>
          <w:p>
            <w:r/>
            <w:r>
              <w:rPr>
                <w:sz w:val="18"/>
              </w:rPr>
              <w:t>Harrow Bay Offshore Wind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Construction</w:t>
            </w:r>
          </w:p>
        </w:tc>
        <w:tc>
          <w:tcPr>
            <w:tcW w:type="dxa" w:w="4327"/>
          </w:tcPr>
          <w:p>
            <w:r/>
            <w:r>
              <w:rPr>
                <w:sz w:val="18"/>
              </w:rPr>
              <w:t>Fisheries liaison, Coastal Fund (GBP 250,000/yr), construction updates, port jobs</w:t>
            </w:r>
          </w:p>
        </w:tc>
        <w:tc>
          <w:tcPr>
            <w:tcW w:type="dxa" w:w="1623"/>
          </w:tcPr>
          <w:p>
            <w:r/>
            <w:r>
              <w:rPr>
                <w:sz w:val="18"/>
              </w:rPr>
              <w:t>Tom Berger</w:t>
            </w:r>
          </w:p>
        </w:tc>
      </w:tr>
      <w:tr>
        <w:tc>
          <w:tcPr>
            <w:tcW w:type="dxa" w:w="2163"/>
            <w:shd w:val="clear" w:color="auto" w:fill="EEF3F6"/>
          </w:tcPr>
          <w:p>
            <w:r/>
            <w:r>
              <w:rPr>
                <w:sz w:val="18"/>
              </w:rPr>
              <w:t>Fenwick Battery Storage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Early development</w:t>
            </w:r>
          </w:p>
        </w:tc>
        <w:tc>
          <w:tcPr>
            <w:tcW w:type="dxa" w:w="4327"/>
            <w:shd w:val="clear" w:color="auto" w:fill="EEF3F6"/>
          </w:tcPr>
          <w:p>
            <w:r/>
            <w:r>
              <w:rPr>
                <w:sz w:val="18"/>
              </w:rPr>
              <w:t>First briefing for Fenwick community council (Q1 2027)</w:t>
            </w:r>
          </w:p>
        </w:tc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Tom Berger</w:t>
            </w:r>
          </w:p>
        </w:tc>
      </w:tr>
    </w:tbl>
    <w:p/>
    <w:p>
      <w:pPr>
        <w:pStyle w:val="Heading1"/>
      </w:pPr>
      <w:r>
        <w:t>4. Objectives and KPIs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Target 2026</w:t>
            </w:r>
          </w:p>
        </w:tc>
        <w:tc>
          <w:tcPr>
            <w:tcW w:type="dxa" w:w="17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 (Sept)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Meaningful consultation on Millbrook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Responses across 3 events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400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472 (met)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Share of respondents supportive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≥ 50 % at event #3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53 % (met)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Effective community funds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Kestrel Ridge grants awarded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15 grants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17 (spring round)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Grant decisions within 8 weeks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Young people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School visits (pupils)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600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512 (autumn term booked)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Harrow Bay fisheries</w:t>
            </w:r>
          </w:p>
        </w:tc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Liaison meetings with fishing associations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≥ 6</w:t>
            </w:r>
          </w:p>
        </w:tc>
        <w:tc>
          <w:tcPr>
            <w:tcW w:type="dxa" w:w="1765"/>
            <w:shd w:val="clear" w:color="auto" w:fill="EEF3F6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Responsiveness</w:t>
            </w:r>
          </w:p>
        </w:tc>
        <w:tc>
          <w:tcPr>
            <w:tcW w:type="dxa" w:w="2941"/>
          </w:tcPr>
          <w:p>
            <w:r/>
            <w:r>
              <w:rPr>
                <w:sz w:val="18"/>
              </w:rPr>
              <w:t>Enquiries answered within 5 working days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≥ 95 %</w:t>
            </w:r>
          </w:p>
        </w:tc>
        <w:tc>
          <w:tcPr>
            <w:tcW w:type="dxa" w:w="1765"/>
          </w:tcPr>
          <w:p>
            <w:r/>
            <w:r>
              <w:rPr>
                <w:sz w:val="18"/>
              </w:rPr>
              <w:t>97 %</w:t>
            </w:r>
          </w:p>
        </w:tc>
      </w:tr>
    </w:tbl>
    <w:p/>
    <w:p>
      <w:pPr>
        <w:pStyle w:val="Heading1"/>
      </w:pPr>
      <w:r>
        <w:t>6. Team and budget</w:t>
      </w:r>
    </w:p>
    <w:p>
      <w:r>
        <w:t>Tom Berger (Community Engagement Lead, Edinburgh) and Grace Mitchell (Community Liaison Officer). Project managers – Liam McAllister for Millbrook, Elena Márquez for Harrow Bay – own the project-specific engagement budgets. Marketing (Noah Fischer) supports design and print.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Budget line 2026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Events and venues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18,500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Print and distribution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22,000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Website and online consultation tool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9,800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School programme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12,400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Fisheries liaison (FLO, meetings)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46,000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108,700</w:t>
            </w:r>
          </w:p>
        </w:tc>
      </w:tr>
    </w:tbl>
    <w:p/>
    <w:p>
      <w:pPr>
        <w:pStyle w:val="Heading1"/>
      </w:pPr>
      <w:r>
        <w:t>7. Feedback and complaints</w:t>
      </w:r>
    </w:p>
    <w:p>
      <w:r>
        <w:t>Every enquiry is logged within one working day. Complaints are acknowledged within two working days and answered within ten. Lessons learned are reviewed every quarter with the project managers.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Community Engagement Strategy 2026–2028  ·  WE-CE-STR-0001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Engagement Strategy 2026–2028</dc:title>
  <dc:subject>Weyland Energy</dc:subject>
  <dc:creator>Tom Berger</dc:creator>
  <cp:keywords>approved</cp:keywords>
  <dc:description>generated by python-docx</dc:description>
  <cp:lastModifiedBy>Tom Berger</cp:lastModifiedBy>
  <cp:revision>1</cp:revision>
  <dcterms:created xsi:type="dcterms:W3CDTF">2025-12-01T10:00:00Z</dcterms:created>
  <dcterms:modified xsi:type="dcterms:W3CDTF">2026-01-19T10:00:00Z</dcterms:modified>
  <cp:category/>
</cp:coreProperties>
</file>