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Battery Energy Storage Systems – Design Guideline</w:t>
      </w:r>
    </w:p>
    <w:p>
      <w:r>
        <w:rPr>
          <w:color w:val="1FA2A6"/>
          <w:sz w:val="25"/>
        </w:rPr>
        <w:t>Guideline, Revision 1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Sofie Lindqvist  ·  22 January 2026  ·  WE-ENG-GDL-007</w:t>
      </w:r>
    </w:p>
    <w:p>
      <w:pPr>
        <w:pStyle w:val="Heading1"/>
      </w:pPr>
      <w:r>
        <w:t>1. Purpose</w:t>
      </w:r>
    </w:p>
    <w:p>
      <w:r>
        <w:t>Minimum design requirements for the Millbrook 20 MW / 40 MWh BESS. To be generalised for Fenwick later.</w:t>
      </w:r>
    </w:p>
    <w:p>
      <w:pPr>
        <w:pStyle w:val="Heading1"/>
      </w:pPr>
      <w:r>
        <w:t>2. Cell chemistry</w:t>
      </w:r>
    </w:p>
    <w:p>
      <w:r>
        <w:t>LFP only. NMC is not accepted for utility-scale projects.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Battery Energy Storage Systems – Design Guideline  ·  WE-ENG-GDL-007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Battery Energy Storage Systems – Design Guideline</dc:title>
  <dc:subject>Guideline, Revision 1</dc:subject>
  <dc:creator>Sofie Lindqvist</dc:creator>
  <cp:keywords>in review</cp:keywords>
  <dc:description>generated by python-docx</dc:description>
  <cp:lastModifiedBy>Sofie Lindqvist</cp:lastModifiedBy>
  <cp:revision>1</cp:revision>
  <dcterms:created xsi:type="dcterms:W3CDTF">2025-10-06T10:00:00Z</dcterms:created>
  <dcterms:modified xsi:type="dcterms:W3CDTF">2026-01-22T10:00:00Z</dcterms:modified>
  <cp:category/>
</cp:coreProperties>
</file>