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Offshore Wind – Final Investment Decision</w:t>
      </w:r>
    </w:p>
    <w:p>
      <w:r>
        <w:rPr>
          <w:color w:val="1FA2A6"/>
          <w:sz w:val="25"/>
        </w:rPr>
        <w:t>Board paper for the extraordinary meeting of the Supervisory Board, 12 February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22 January 2026  ·  WE-SB-2026-02-FID</w:t>
      </w:r>
    </w:p>
    <w:p>
      <w:pPr>
        <w:pStyle w:val="Heading1"/>
      </w:pPr>
      <w:r>
        <w:t>1. Decision requested</w:t>
      </w:r>
    </w:p>
    <w:p>
      <w:r>
        <w:t xml:space="preserve">The Executive Board requests the Supervisory Board to approve the </w:t>
      </w:r>
      <w:r>
        <w:rPr>
          <w:b/>
        </w:rPr>
        <w:t>final investment decision (FID)</w:t>
      </w:r>
      <w:r>
        <w:t xml:space="preserve"> for Harrow Bay Offshore Wind (480 MW) with a total capital expenditure budget of </w:t>
      </w:r>
      <w:r>
        <w:rPr>
          <w:b/>
        </w:rPr>
        <w:t>EUR 1,620 m</w:t>
      </w:r>
      <w:r>
        <w:t xml:space="preserve">, the execution of the finance documents for </w:t>
      </w:r>
      <w:r>
        <w:rPr>
          <w:b/>
        </w:rPr>
        <w:t>EUR 1,100 m senior debt</w:t>
      </w:r>
      <w:r>
        <w:t xml:space="preserve"> arranged by Hanseatic Infrastructure Bank, and a capital increase of EUR 140 m. Financial close is planned for the same day, 12 February 2026.</w:t>
      </w:r>
    </w:p>
    <w:p>
      <w:pPr>
        <w:pStyle w:val="Heading1"/>
      </w:pPr>
      <w:r>
        <w:t>2.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8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72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UK North Sea, 38 km off the coast of Harrow Bay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Capacity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480 MW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Turbines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40 × Halden HTS-12 (12 MW), rotor diameter 236 m, hub height 140 m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Foundations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Monopiles, 9.5 m diameter, water depth 28–36 m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Grid connection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2 × 220 kV export cables, 62 km each, to onshore substation Harrow Bay East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Expected generation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1.9 TWh per year (P50), equivalent to 520,000 homes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Development consent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Granted 20 November 2023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Construction start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April 2026 (first monopile)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Commercial operation (COD)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30 June 2028</w:t>
            </w:r>
          </w:p>
        </w:tc>
      </w:tr>
    </w:tbl>
    <w:p/>
    <w:p>
      <w:pPr>
        <w:pStyle w:val="Heading1"/>
      </w:pPr>
      <w:r>
        <w:t>3. Capital expenditure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39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01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Wind turbines – Halden Turbine Systems (WE-CON-2025-022)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575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Monopiles and transition pieces – Rhenus Steelworks (WE-CON-2025-027)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268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Export and array cables – Severn Subsea Cables (WE-CON-2025-031)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232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Offshore substation HB-OSS – Norfab Offshore Structures (WE-CON-2025-035)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196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Marine installation, MV Sea Atlas charter (WE-CON-2025-040), port and logistics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122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Onshore substation Harrow Bay East and grid works (WE-CON-2025-044)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Development, owner's costs, project management and insurance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111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Contingency (3.5 % of base capex)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55</w:t>
            </w:r>
          </w:p>
        </w:tc>
      </w:tr>
      <w:tr>
        <w:tc>
          <w:tcPr>
            <w:tcW w:type="dxa" w:w="7394"/>
          </w:tcPr>
          <w:p>
            <w:r/>
            <w:r>
              <w:rPr>
                <w:b/>
                <w:sz w:val="18"/>
              </w:rPr>
              <w:t>Total capex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1,620</w:t>
            </w:r>
          </w:p>
        </w:tc>
      </w:tr>
    </w:tbl>
    <w:p>
      <w:r>
        <w:rPr>
          <w:i/>
          <w:color w:val="4A5A68"/>
          <w:sz w:val="17"/>
        </w:rPr>
        <w:t>Capex budget at FID, nominal, including contingency</w:t>
      </w:r>
    </w:p>
    <w:p>
      <w:r>
        <w:t>Around 87 % of the base capex is fixed under signed EPCI-type supply and installation contracts. The remaining exposure relates to vessel weather downtime, onshore civil works and owner's costs. The contingency of EUR 55 m was sized with a Monte Carlo analysis at P80; a further EUR 45 m of standby equity is committed by the shareholders.</w:t>
      </w:r>
    </w:p>
    <w:p>
      <w:pPr>
        <w:pStyle w:val="Heading1"/>
      </w:pPr>
      <w:r>
        <w:t>4. Financing</w:t>
      </w:r>
    </w:p>
    <w:p>
      <w:pPr>
        <w:pStyle w:val="Heading1"/>
      </w:pPr>
      <w:r>
        <w:t>4. Financing</w:t>
      </w:r>
    </w:p>
    <w:p>
      <w:r>
        <w:t>Term sheet agreed with Hanseatic Infrastructure Bank; syndicate of five lenders, credit approvals expected early February. Pricing and hedging to be finalised.</w:t>
      </w:r>
    </w:p>
    <w:p>
      <w:pPr>
        <w:pStyle w:val="Heading1"/>
      </w:pPr>
      <w:r>
        <w:t>5. Returns</w:t>
      </w:r>
    </w:p>
    <w:p>
      <w:r>
        <w:t>Equity IRR of 10.1 % (P50) based on the December model; to be updated.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Offshore Wind – Final Investment Decision  ·  WE-SB-2026-02-FID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Offshore Wind – Final Investment Decision</dc:title>
  <dc:subject>Board paper for the extraordinary meeting of the Supervisory Board, 12 February 2026</dc:subject>
  <dc:creator>Dr. Amara Okafor</dc:creator>
  <cp:keywords>board, confidential, final</cp:keywords>
  <dc:description>generated by python-docx</dc:description>
  <cp:lastModifiedBy>Dr. Amara Okafor</cp:lastModifiedBy>
  <cp:revision>1</cp:revision>
  <dcterms:created xsi:type="dcterms:W3CDTF">2026-01-14T10:00:00Z</dcterms:created>
  <dcterms:modified xsi:type="dcterms:W3CDTF">2026-01-22T10:00:00Z</dcterms:modified>
  <cp:category/>
</cp:coreProperties>
</file>