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Harrow Bay Offshore Wind – Final Investment Decision</w:t>
      </w:r>
    </w:p>
    <w:p>
      <w:r>
        <w:rPr>
          <w:color w:val="1FA2A6"/>
          <w:sz w:val="25"/>
        </w:rPr>
        <w:t>Board paper for the extraordinary meeting of the Supervisory Board, 12 February 2026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Jonas Richter  ·  03 February 2026  ·  WE-SB-2026-02-FID</w:t>
      </w:r>
    </w:p>
    <w:p>
      <w:pPr>
        <w:pStyle w:val="Heading1"/>
      </w:pPr>
      <w:r>
        <w:t>1. Decision requested</w:t>
      </w:r>
    </w:p>
    <w:p>
      <w:r>
        <w:t xml:space="preserve">The Executive Board requests the Supervisory Board to approve the </w:t>
      </w:r>
      <w:r>
        <w:rPr>
          <w:b/>
        </w:rPr>
        <w:t>final investment decision (FID)</w:t>
      </w:r>
      <w:r>
        <w:t xml:space="preserve"> for Harrow Bay Offshore Wind (480 MW) with a total capital expenditure budget of </w:t>
      </w:r>
      <w:r>
        <w:rPr>
          <w:b/>
        </w:rPr>
        <w:t>EUR 1,620 m</w:t>
      </w:r>
      <w:r>
        <w:t xml:space="preserve">, the execution of the finance documents for </w:t>
      </w:r>
      <w:r>
        <w:rPr>
          <w:b/>
        </w:rPr>
        <w:t>EUR 1,100 m senior debt</w:t>
      </w:r>
      <w:r>
        <w:t xml:space="preserve"> arranged by Hanseatic Infrastructure Bank, and a capital increase of EUR 140 m. Financial close is planned for the same day, 12 February 2026.</w:t>
      </w:r>
    </w:p>
    <w:p>
      <w:pPr>
        <w:pStyle w:val="Heading1"/>
      </w:pPr>
      <w:r>
        <w:t>2. The 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689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6722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689"/>
          </w:tcPr>
          <w:p>
            <w:r/>
            <w:r>
              <w:rPr>
                <w:sz w:val="18"/>
              </w:rPr>
              <w:t>Location</w:t>
            </w:r>
          </w:p>
        </w:tc>
        <w:tc>
          <w:tcPr>
            <w:tcW w:type="dxa" w:w="6722"/>
          </w:tcPr>
          <w:p>
            <w:r/>
            <w:r>
              <w:rPr>
                <w:sz w:val="18"/>
              </w:rPr>
              <w:t>UK North Sea, 38 km off the coast of Harrow Bay</w:t>
            </w:r>
          </w:p>
        </w:tc>
      </w:tr>
      <w:tr>
        <w:tc>
          <w:tcPr>
            <w:tcW w:type="dxa" w:w="2689"/>
            <w:shd w:val="clear" w:color="auto" w:fill="EEF3F6"/>
          </w:tcPr>
          <w:p>
            <w:r/>
            <w:r>
              <w:rPr>
                <w:sz w:val="18"/>
              </w:rPr>
              <w:t>Capacity</w:t>
            </w:r>
          </w:p>
        </w:tc>
        <w:tc>
          <w:tcPr>
            <w:tcW w:type="dxa" w:w="6722"/>
            <w:shd w:val="clear" w:color="auto" w:fill="EEF3F6"/>
          </w:tcPr>
          <w:p>
            <w:r/>
            <w:r>
              <w:rPr>
                <w:sz w:val="18"/>
              </w:rPr>
              <w:t>480 MW</w:t>
            </w:r>
          </w:p>
        </w:tc>
      </w:tr>
      <w:tr>
        <w:tc>
          <w:tcPr>
            <w:tcW w:type="dxa" w:w="2689"/>
          </w:tcPr>
          <w:p>
            <w:r/>
            <w:r>
              <w:rPr>
                <w:sz w:val="18"/>
              </w:rPr>
              <w:t>Turbines</w:t>
            </w:r>
          </w:p>
        </w:tc>
        <w:tc>
          <w:tcPr>
            <w:tcW w:type="dxa" w:w="6722"/>
          </w:tcPr>
          <w:p>
            <w:r/>
            <w:r>
              <w:rPr>
                <w:sz w:val="18"/>
              </w:rPr>
              <w:t>40 × Halden HTS-12 (12 MW), rotor diameter 236 m, hub height 140 m</w:t>
            </w:r>
          </w:p>
        </w:tc>
      </w:tr>
      <w:tr>
        <w:tc>
          <w:tcPr>
            <w:tcW w:type="dxa" w:w="2689"/>
            <w:shd w:val="clear" w:color="auto" w:fill="EEF3F6"/>
          </w:tcPr>
          <w:p>
            <w:r/>
            <w:r>
              <w:rPr>
                <w:sz w:val="18"/>
              </w:rPr>
              <w:t>Foundations</w:t>
            </w:r>
          </w:p>
        </w:tc>
        <w:tc>
          <w:tcPr>
            <w:tcW w:type="dxa" w:w="6722"/>
            <w:shd w:val="clear" w:color="auto" w:fill="EEF3F6"/>
          </w:tcPr>
          <w:p>
            <w:r/>
            <w:r>
              <w:rPr>
                <w:sz w:val="18"/>
              </w:rPr>
              <w:t>Monopiles, 9.5 m diameter, water depth 28–36 m</w:t>
            </w:r>
          </w:p>
        </w:tc>
      </w:tr>
      <w:tr>
        <w:tc>
          <w:tcPr>
            <w:tcW w:type="dxa" w:w="2689"/>
          </w:tcPr>
          <w:p>
            <w:r/>
            <w:r>
              <w:rPr>
                <w:sz w:val="18"/>
              </w:rPr>
              <w:t>Grid connection</w:t>
            </w:r>
          </w:p>
        </w:tc>
        <w:tc>
          <w:tcPr>
            <w:tcW w:type="dxa" w:w="6722"/>
          </w:tcPr>
          <w:p>
            <w:r/>
            <w:r>
              <w:rPr>
                <w:sz w:val="18"/>
              </w:rPr>
              <w:t>2 × 220 kV export cables, 62 km each, to onshore substation Harrow Bay East</w:t>
            </w:r>
          </w:p>
        </w:tc>
      </w:tr>
      <w:tr>
        <w:tc>
          <w:tcPr>
            <w:tcW w:type="dxa" w:w="2689"/>
            <w:shd w:val="clear" w:color="auto" w:fill="EEF3F6"/>
          </w:tcPr>
          <w:p>
            <w:r/>
            <w:r>
              <w:rPr>
                <w:sz w:val="18"/>
              </w:rPr>
              <w:t>Expected generation</w:t>
            </w:r>
          </w:p>
        </w:tc>
        <w:tc>
          <w:tcPr>
            <w:tcW w:type="dxa" w:w="6722"/>
            <w:shd w:val="clear" w:color="auto" w:fill="EEF3F6"/>
          </w:tcPr>
          <w:p>
            <w:r/>
            <w:r>
              <w:rPr>
                <w:sz w:val="18"/>
              </w:rPr>
              <w:t>1.9 TWh per year (P50), equivalent to 520,000 homes</w:t>
            </w:r>
          </w:p>
        </w:tc>
      </w:tr>
      <w:tr>
        <w:tc>
          <w:tcPr>
            <w:tcW w:type="dxa" w:w="2689"/>
          </w:tcPr>
          <w:p>
            <w:r/>
            <w:r>
              <w:rPr>
                <w:sz w:val="18"/>
              </w:rPr>
              <w:t>Development consent</w:t>
            </w:r>
          </w:p>
        </w:tc>
        <w:tc>
          <w:tcPr>
            <w:tcW w:type="dxa" w:w="6722"/>
          </w:tcPr>
          <w:p>
            <w:r/>
            <w:r>
              <w:rPr>
                <w:sz w:val="18"/>
              </w:rPr>
              <w:t>Granted 20 November 2023</w:t>
            </w:r>
          </w:p>
        </w:tc>
      </w:tr>
      <w:tr>
        <w:tc>
          <w:tcPr>
            <w:tcW w:type="dxa" w:w="2689"/>
            <w:shd w:val="clear" w:color="auto" w:fill="EEF3F6"/>
          </w:tcPr>
          <w:p>
            <w:r/>
            <w:r>
              <w:rPr>
                <w:sz w:val="18"/>
              </w:rPr>
              <w:t>Construction start</w:t>
            </w:r>
          </w:p>
        </w:tc>
        <w:tc>
          <w:tcPr>
            <w:tcW w:type="dxa" w:w="6722"/>
            <w:shd w:val="clear" w:color="auto" w:fill="EEF3F6"/>
          </w:tcPr>
          <w:p>
            <w:r/>
            <w:r>
              <w:rPr>
                <w:sz w:val="18"/>
              </w:rPr>
              <w:t>April 2026 (first monopile)</w:t>
            </w:r>
          </w:p>
        </w:tc>
      </w:tr>
      <w:tr>
        <w:tc>
          <w:tcPr>
            <w:tcW w:type="dxa" w:w="2689"/>
          </w:tcPr>
          <w:p>
            <w:r/>
            <w:r>
              <w:rPr>
                <w:sz w:val="18"/>
              </w:rPr>
              <w:t>Commercial operation (COD)</w:t>
            </w:r>
          </w:p>
        </w:tc>
        <w:tc>
          <w:tcPr>
            <w:tcW w:type="dxa" w:w="6722"/>
          </w:tcPr>
          <w:p>
            <w:r/>
            <w:r>
              <w:rPr>
                <w:sz w:val="18"/>
              </w:rPr>
              <w:t>30 June 2028</w:t>
            </w:r>
          </w:p>
        </w:tc>
      </w:tr>
    </w:tbl>
    <w:p/>
    <w:p>
      <w:pPr>
        <w:pStyle w:val="Heading1"/>
      </w:pPr>
      <w:r>
        <w:t>3. Capital expenditure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7394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Package</w:t>
            </w:r>
          </w:p>
        </w:tc>
        <w:tc>
          <w:tcPr>
            <w:tcW w:type="dxa" w:w="201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EUR m</w:t>
            </w:r>
          </w:p>
        </w:tc>
      </w:tr>
      <w:tr>
        <w:tc>
          <w:tcPr>
            <w:tcW w:type="dxa" w:w="7394"/>
          </w:tcPr>
          <w:p>
            <w:r/>
            <w:r>
              <w:rPr>
                <w:sz w:val="18"/>
              </w:rPr>
              <w:t>Wind turbines – Halden Turbine Systems (WE-CON-2025-022)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575</w:t>
            </w:r>
          </w:p>
        </w:tc>
      </w:tr>
      <w:tr>
        <w:tc>
          <w:tcPr>
            <w:tcW w:type="dxa" w:w="7394"/>
            <w:shd w:val="clear" w:color="auto" w:fill="EEF3F6"/>
          </w:tcPr>
          <w:p>
            <w:r/>
            <w:r>
              <w:rPr>
                <w:sz w:val="18"/>
              </w:rPr>
              <w:t>Monopiles and transition pieces – Rhenus Steelworks (WE-CON-2025-027)</w:t>
            </w:r>
          </w:p>
        </w:tc>
        <w:tc>
          <w:tcPr>
            <w:tcW w:type="dxa" w:w="2017"/>
            <w:shd w:val="clear" w:color="auto" w:fill="EEF3F6"/>
          </w:tcPr>
          <w:p>
            <w:r/>
            <w:r>
              <w:rPr>
                <w:sz w:val="18"/>
              </w:rPr>
              <w:t>268</w:t>
            </w:r>
          </w:p>
        </w:tc>
      </w:tr>
      <w:tr>
        <w:tc>
          <w:tcPr>
            <w:tcW w:type="dxa" w:w="7394"/>
          </w:tcPr>
          <w:p>
            <w:r/>
            <w:r>
              <w:rPr>
                <w:sz w:val="18"/>
              </w:rPr>
              <w:t>Export and array cables – Severn Subsea Cables (WE-CON-2025-031)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232</w:t>
            </w:r>
          </w:p>
        </w:tc>
      </w:tr>
      <w:tr>
        <w:tc>
          <w:tcPr>
            <w:tcW w:type="dxa" w:w="7394"/>
            <w:shd w:val="clear" w:color="auto" w:fill="EEF3F6"/>
          </w:tcPr>
          <w:p>
            <w:r/>
            <w:r>
              <w:rPr>
                <w:sz w:val="18"/>
              </w:rPr>
              <w:t>Offshore substation HB-OSS – Norfab Offshore Structures (WE-CON-2025-035)</w:t>
            </w:r>
          </w:p>
        </w:tc>
        <w:tc>
          <w:tcPr>
            <w:tcW w:type="dxa" w:w="2017"/>
            <w:shd w:val="clear" w:color="auto" w:fill="EEF3F6"/>
          </w:tcPr>
          <w:p>
            <w:r/>
            <w:r>
              <w:rPr>
                <w:sz w:val="18"/>
              </w:rPr>
              <w:t>196</w:t>
            </w:r>
          </w:p>
        </w:tc>
      </w:tr>
      <w:tr>
        <w:tc>
          <w:tcPr>
            <w:tcW w:type="dxa" w:w="7394"/>
          </w:tcPr>
          <w:p>
            <w:r/>
            <w:r>
              <w:rPr>
                <w:sz w:val="18"/>
              </w:rPr>
              <w:t>Marine installation, MV Sea Atlas charter (WE-CON-2025-040), port and logistics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122</w:t>
            </w:r>
          </w:p>
        </w:tc>
      </w:tr>
      <w:tr>
        <w:tc>
          <w:tcPr>
            <w:tcW w:type="dxa" w:w="7394"/>
            <w:shd w:val="clear" w:color="auto" w:fill="EEF3F6"/>
          </w:tcPr>
          <w:p>
            <w:r/>
            <w:r>
              <w:rPr>
                <w:sz w:val="18"/>
              </w:rPr>
              <w:t>Onshore substation Harrow Bay East and grid works (WE-CON-2025-044)</w:t>
            </w:r>
          </w:p>
        </w:tc>
        <w:tc>
          <w:tcPr>
            <w:tcW w:type="dxa" w:w="2017"/>
            <w:shd w:val="clear" w:color="auto" w:fill="EEF3F6"/>
          </w:tcPr>
          <w:p>
            <w:r/>
            <w:r>
              <w:rPr>
                <w:sz w:val="18"/>
              </w:rPr>
              <w:t>61</w:t>
            </w:r>
          </w:p>
        </w:tc>
      </w:tr>
      <w:tr>
        <w:tc>
          <w:tcPr>
            <w:tcW w:type="dxa" w:w="7394"/>
          </w:tcPr>
          <w:p>
            <w:r/>
            <w:r>
              <w:rPr>
                <w:sz w:val="18"/>
              </w:rPr>
              <w:t>Development, owner's costs, project management and insurance</w:t>
            </w:r>
          </w:p>
        </w:tc>
        <w:tc>
          <w:tcPr>
            <w:tcW w:type="dxa" w:w="2017"/>
          </w:tcPr>
          <w:p>
            <w:r/>
            <w:r>
              <w:rPr>
                <w:sz w:val="18"/>
              </w:rPr>
              <w:t>111</w:t>
            </w:r>
          </w:p>
        </w:tc>
      </w:tr>
      <w:tr>
        <w:tc>
          <w:tcPr>
            <w:tcW w:type="dxa" w:w="7394"/>
            <w:shd w:val="clear" w:color="auto" w:fill="EEF3F6"/>
          </w:tcPr>
          <w:p>
            <w:r/>
            <w:r>
              <w:rPr>
                <w:sz w:val="18"/>
              </w:rPr>
              <w:t>Contingency (3.5 % of base capex)</w:t>
            </w:r>
          </w:p>
        </w:tc>
        <w:tc>
          <w:tcPr>
            <w:tcW w:type="dxa" w:w="2017"/>
            <w:shd w:val="clear" w:color="auto" w:fill="EEF3F6"/>
          </w:tcPr>
          <w:p>
            <w:r/>
            <w:r>
              <w:rPr>
                <w:sz w:val="18"/>
              </w:rPr>
              <w:t>55</w:t>
            </w:r>
          </w:p>
        </w:tc>
      </w:tr>
      <w:tr>
        <w:tc>
          <w:tcPr>
            <w:tcW w:type="dxa" w:w="7394"/>
          </w:tcPr>
          <w:p>
            <w:r/>
            <w:r>
              <w:rPr>
                <w:b/>
                <w:sz w:val="18"/>
              </w:rPr>
              <w:t>Total capex</w:t>
            </w:r>
          </w:p>
        </w:tc>
        <w:tc>
          <w:tcPr>
            <w:tcW w:type="dxa" w:w="2017"/>
          </w:tcPr>
          <w:p>
            <w:r/>
            <w:r>
              <w:rPr>
                <w:b/>
                <w:sz w:val="18"/>
              </w:rPr>
              <w:t>1,620</w:t>
            </w:r>
          </w:p>
        </w:tc>
      </w:tr>
    </w:tbl>
    <w:p>
      <w:r>
        <w:rPr>
          <w:i/>
          <w:color w:val="4A5A68"/>
          <w:sz w:val="17"/>
        </w:rPr>
        <w:t>Capex budget at FID, nominal, including contingency</w:t>
      </w:r>
    </w:p>
    <w:p>
      <w:r>
        <w:t>Around 87 % of the base capex is fixed under signed EPCI-type supply and installation contracts. The remaining exposure relates to vessel weather downtime, onshore civil works and owner's costs. The contingency of EUR 55 m was sized with a Monte Carlo analysis at P80; a further EUR 45 m of standby equity is committed by the shareholders.</w:t>
      </w:r>
    </w:p>
    <w:p>
      <w:pPr>
        <w:pStyle w:val="Heading1"/>
      </w:pPr>
      <w:r>
        <w:t>4. Financing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4392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Lender</w:t>
            </w:r>
          </w:p>
        </w:tc>
        <w:tc>
          <w:tcPr>
            <w:tcW w:type="dxa" w:w="3764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1255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EUR m</w:t>
            </w:r>
          </w:p>
        </w:tc>
      </w:tr>
      <w:tr>
        <w:tc>
          <w:tcPr>
            <w:tcW w:type="dxa" w:w="4392"/>
          </w:tcPr>
          <w:p>
            <w:r/>
            <w:r>
              <w:rPr>
                <w:sz w:val="18"/>
              </w:rPr>
              <w:t>Hanseatic Infrastructure Bank</w:t>
            </w:r>
          </w:p>
        </w:tc>
        <w:tc>
          <w:tcPr>
            <w:tcW w:type="dxa" w:w="3764"/>
          </w:tcPr>
          <w:p>
            <w:r/>
            <w:r>
              <w:rPr>
                <w:sz w:val="18"/>
              </w:rPr>
              <w:t>Mandated lead arranger, facility and security agent</w:t>
            </w:r>
          </w:p>
        </w:tc>
        <w:tc>
          <w:tcPr>
            <w:tcW w:type="dxa" w:w="1255"/>
          </w:tcPr>
          <w:p>
            <w:r/>
            <w:r>
              <w:rPr>
                <w:sz w:val="18"/>
              </w:rPr>
              <w:t>350</w:t>
            </w:r>
          </w:p>
        </w:tc>
      </w:tr>
      <w:tr>
        <w:tc>
          <w:tcPr>
            <w:tcW w:type="dxa" w:w="4392"/>
            <w:shd w:val="clear" w:color="auto" w:fill="EEF3F6"/>
          </w:tcPr>
          <w:p>
            <w:r/>
            <w:r>
              <w:rPr>
                <w:sz w:val="18"/>
              </w:rPr>
              <w:t>Nordvik Export Finance (ECA-covered tranche)</w:t>
            </w:r>
          </w:p>
        </w:tc>
        <w:tc>
          <w:tcPr>
            <w:tcW w:type="dxa" w:w="3764"/>
            <w:shd w:val="clear" w:color="auto" w:fill="EEF3F6"/>
          </w:tcPr>
          <w:p>
            <w:r/>
            <w:r>
              <w:rPr>
                <w:sz w:val="18"/>
              </w:rPr>
              <w:t>Lender</w:t>
            </w:r>
          </w:p>
        </w:tc>
        <w:tc>
          <w:tcPr>
            <w:tcW w:type="dxa" w:w="1255"/>
            <w:shd w:val="clear" w:color="auto" w:fill="EEF3F6"/>
          </w:tcPr>
          <w:p>
            <w:r/>
            <w:r>
              <w:rPr>
                <w:sz w:val="18"/>
              </w:rPr>
              <w:t>300</w:t>
            </w:r>
          </w:p>
        </w:tc>
      </w:tr>
      <w:tr>
        <w:tc>
          <w:tcPr>
            <w:tcW w:type="dxa" w:w="4392"/>
          </w:tcPr>
          <w:p>
            <w:r/>
            <w:r>
              <w:rPr>
                <w:sz w:val="18"/>
              </w:rPr>
              <w:t>Elbe Commercial Bank</w:t>
            </w:r>
          </w:p>
        </w:tc>
        <w:tc>
          <w:tcPr>
            <w:tcW w:type="dxa" w:w="3764"/>
          </w:tcPr>
          <w:p>
            <w:r/>
            <w:r>
              <w:rPr>
                <w:sz w:val="18"/>
              </w:rPr>
              <w:t>Lender</w:t>
            </w:r>
          </w:p>
        </w:tc>
        <w:tc>
          <w:tcPr>
            <w:tcW w:type="dxa" w:w="1255"/>
          </w:tcPr>
          <w:p>
            <w:r/>
            <w:r>
              <w:rPr>
                <w:sz w:val="18"/>
              </w:rPr>
              <w:t>200</w:t>
            </w:r>
          </w:p>
        </w:tc>
      </w:tr>
      <w:tr>
        <w:tc>
          <w:tcPr>
            <w:tcW w:type="dxa" w:w="4392"/>
            <w:shd w:val="clear" w:color="auto" w:fill="EEF3F6"/>
          </w:tcPr>
          <w:p>
            <w:r/>
            <w:r>
              <w:rPr>
                <w:sz w:val="18"/>
              </w:rPr>
              <w:t>Caledonia Capital Bank plc</w:t>
            </w:r>
          </w:p>
        </w:tc>
        <w:tc>
          <w:tcPr>
            <w:tcW w:type="dxa" w:w="3764"/>
            <w:shd w:val="clear" w:color="auto" w:fill="EEF3F6"/>
          </w:tcPr>
          <w:p>
            <w:r/>
            <w:r>
              <w:rPr>
                <w:sz w:val="18"/>
              </w:rPr>
              <w:t>Lender</w:t>
            </w:r>
          </w:p>
        </w:tc>
        <w:tc>
          <w:tcPr>
            <w:tcW w:type="dxa" w:w="1255"/>
            <w:shd w:val="clear" w:color="auto" w:fill="EEF3F6"/>
          </w:tcPr>
          <w:p>
            <w:r/>
            <w:r>
              <w:rPr>
                <w:sz w:val="18"/>
              </w:rPr>
              <w:t>150</w:t>
            </w:r>
          </w:p>
        </w:tc>
      </w:tr>
      <w:tr>
        <w:tc>
          <w:tcPr>
            <w:tcW w:type="dxa" w:w="4392"/>
          </w:tcPr>
          <w:p>
            <w:r/>
            <w:r>
              <w:rPr>
                <w:sz w:val="18"/>
              </w:rPr>
              <w:t>Lindwurm Infrastructure Debt Fund II</w:t>
            </w:r>
          </w:p>
        </w:tc>
        <w:tc>
          <w:tcPr>
            <w:tcW w:type="dxa" w:w="3764"/>
          </w:tcPr>
          <w:p>
            <w:r/>
            <w:r>
              <w:rPr>
                <w:sz w:val="18"/>
              </w:rPr>
              <w:t>Institutional lender</w:t>
            </w:r>
          </w:p>
        </w:tc>
        <w:tc>
          <w:tcPr>
            <w:tcW w:type="dxa" w:w="1255"/>
          </w:tcPr>
          <w:p>
            <w:r/>
            <w:r>
              <w:rPr>
                <w:sz w:val="18"/>
              </w:rPr>
              <w:t>100</w:t>
            </w:r>
          </w:p>
        </w:tc>
      </w:tr>
      <w:tr>
        <w:tc>
          <w:tcPr>
            <w:tcW w:type="dxa" w:w="4392"/>
            <w:shd w:val="clear" w:color="auto" w:fill="EEF3F6"/>
          </w:tcPr>
          <w:p>
            <w:r/>
            <w:r>
              <w:rPr>
                <w:sz w:val="18"/>
              </w:rPr>
              <w:t>Total senior debt</w:t>
            </w:r>
          </w:p>
        </w:tc>
        <w:tc>
          <w:tcPr>
            <w:tcW w:type="dxa" w:w="3764"/>
            <w:shd w:val="clear" w:color="auto" w:fill="EEF3F6"/>
          </w:tcPr>
          <w:p>
            <w:r/>
          </w:p>
        </w:tc>
        <w:tc>
          <w:tcPr>
            <w:tcW w:type="dxa" w:w="1255"/>
            <w:shd w:val="clear" w:color="auto" w:fill="EEF3F6"/>
          </w:tcPr>
          <w:p>
            <w:r/>
            <w:r>
              <w:rPr>
                <w:sz w:val="18"/>
              </w:rPr>
              <w:t>1,100</w:t>
            </w:r>
          </w:p>
        </w:tc>
      </w:tr>
    </w:tbl>
    <w:p/>
    <w:p>
      <w:pPr>
        <w:pStyle w:val="ListBullet"/>
      </w:pPr>
      <w:r>
        <w:t>Facility: EUR 1,100 m senior secured construction and term loan facility</w:t>
      </w:r>
    </w:p>
    <w:p>
      <w:pPr>
        <w:pStyle w:val="ListBullet"/>
      </w:pPr>
      <w:r>
        <w:t>Financial close: 12 February 2026</w:t>
      </w:r>
    </w:p>
    <w:p>
      <w:pPr>
        <w:pStyle w:val="ListBullet"/>
      </w:pPr>
      <w:r>
        <w:t>Tenor: Construction period plus 18 years after COD (final maturity 2046)</w:t>
      </w:r>
    </w:p>
    <w:p>
      <w:pPr>
        <w:pStyle w:val="ListBullet"/>
      </w:pPr>
      <w:r>
        <w:t>Margin: 165 bps during construction, 150–190 bps step-up during operations</w:t>
      </w:r>
    </w:p>
    <w:p>
      <w:pPr>
        <w:pStyle w:val="ListBullet"/>
      </w:pPr>
      <w:r>
        <w:t>Interest hedging: 85 % of the expected debt hedged with amortising swaps at 2.74 % (5 counterparties)</w:t>
      </w:r>
    </w:p>
    <w:p>
      <w:pPr>
        <w:pStyle w:val="ListBullet"/>
      </w:pPr>
      <w:r>
        <w:t>Debt : equity: 68 : 32 (EUR 1,100 m debt / EUR 520 m equity)</w:t>
      </w:r>
    </w:p>
    <w:p>
      <w:pPr>
        <w:pStyle w:val="ListBullet"/>
      </w:pPr>
      <w:r>
        <w:t>Equity first: Yes – equity of EUR 520 m fully contributed before first debt drawdown</w:t>
      </w:r>
    </w:p>
    <w:p>
      <w:pPr>
        <w:pStyle w:val="ListBullet"/>
      </w:pPr>
      <w:r>
        <w:t>DSCR covenant: Lock-up 1.15x, default 1.05x (historic and projected, P90)</w:t>
      </w:r>
    </w:p>
    <w:p>
      <w:pPr>
        <w:pStyle w:val="ListBullet"/>
      </w:pPr>
      <w:r>
        <w:t>Sizing DSCR: 1.30x P90 / 1.40x P50</w:t>
      </w:r>
    </w:p>
    <w:p>
      <w:pPr>
        <w:pStyle w:val="ListBullet"/>
      </w:pPr>
      <w:r>
        <w:t>Contingency: EUR 96 m contingency in the budget plus EUR 45 m standby equity</w:t>
      </w:r>
    </w:p>
    <w:p>
      <w:pPr>
        <w:pStyle w:val="ListBullet"/>
      </w:pPr>
      <w:r>
        <w:t>Revenue support: 15-year PPA WE-PPA-2026-004 with Arcturus Steel AG for 150 MW plus CfD for the remaining capacity</w:t>
      </w:r>
    </w:p>
    <w:p>
      <w:pPr>
        <w:pStyle w:val="ListBullet"/>
      </w:pPr>
      <w:r>
        <w:t>Lenders' technical adviser: Strandberg Technical Advisory</w:t>
      </w:r>
    </w:p>
    <w:p>
      <w:pPr>
        <w:pStyle w:val="Heading1"/>
      </w:pPr>
      <w:r>
        <w:t>5. Returns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506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172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P50</w:t>
            </w:r>
          </w:p>
        </w:tc>
        <w:tc>
          <w:tcPr>
            <w:tcW w:type="dxa" w:w="2172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P90</w:t>
            </w:r>
          </w:p>
        </w:tc>
      </w:tr>
      <w:tr>
        <w:tc>
          <w:tcPr>
            <w:tcW w:type="dxa" w:w="5067"/>
          </w:tcPr>
          <w:p>
            <w:r/>
            <w:r>
              <w:rPr>
                <w:sz w:val="18"/>
              </w:rPr>
              <w:t>Project IRR (post-tax, nominal)</w:t>
            </w:r>
          </w:p>
        </w:tc>
        <w:tc>
          <w:tcPr>
            <w:tcW w:type="dxa" w:w="2172"/>
          </w:tcPr>
          <w:p>
            <w:r/>
            <w:r>
              <w:rPr>
                <w:sz w:val="18"/>
              </w:rPr>
              <w:t>7.6 %</w:t>
            </w:r>
          </w:p>
        </w:tc>
        <w:tc>
          <w:tcPr>
            <w:tcW w:type="dxa" w:w="2172"/>
          </w:tcPr>
          <w:p>
            <w:r/>
            <w:r>
              <w:rPr>
                <w:sz w:val="18"/>
              </w:rPr>
              <w:t>6.4 %</w:t>
            </w:r>
          </w:p>
        </w:tc>
      </w:tr>
      <w:tr>
        <w:tc>
          <w:tcPr>
            <w:tcW w:type="dxa" w:w="5067"/>
            <w:shd w:val="clear" w:color="auto" w:fill="EEF3F6"/>
          </w:tcPr>
          <w:p>
            <w:r/>
            <w:r>
              <w:rPr>
                <w:sz w:val="18"/>
              </w:rPr>
              <w:t>Equity IRR (post-tax, nominal)</w:t>
            </w:r>
          </w:p>
        </w:tc>
        <w:tc>
          <w:tcPr>
            <w:tcW w:type="dxa" w:w="2172"/>
            <w:shd w:val="clear" w:color="auto" w:fill="EEF3F6"/>
          </w:tcPr>
          <w:p>
            <w:r/>
            <w:r>
              <w:rPr>
                <w:sz w:val="18"/>
              </w:rPr>
              <w:t>10.4 %</w:t>
            </w:r>
          </w:p>
        </w:tc>
        <w:tc>
          <w:tcPr>
            <w:tcW w:type="dxa" w:w="2172"/>
            <w:shd w:val="clear" w:color="auto" w:fill="EEF3F6"/>
          </w:tcPr>
          <w:p>
            <w:r/>
            <w:r>
              <w:rPr>
                <w:sz w:val="18"/>
              </w:rPr>
              <w:t>8.1 %</w:t>
            </w:r>
          </w:p>
        </w:tc>
      </w:tr>
      <w:tr>
        <w:tc>
          <w:tcPr>
            <w:tcW w:type="dxa" w:w="5067"/>
          </w:tcPr>
          <w:p>
            <w:r/>
            <w:r>
              <w:rPr>
                <w:sz w:val="18"/>
              </w:rPr>
              <w:t>Minimum DSCR</w:t>
            </w:r>
          </w:p>
        </w:tc>
        <w:tc>
          <w:tcPr>
            <w:tcW w:type="dxa" w:w="2172"/>
          </w:tcPr>
          <w:p>
            <w:r/>
            <w:r>
              <w:rPr>
                <w:sz w:val="18"/>
              </w:rPr>
              <w:t>1.40x</w:t>
            </w:r>
          </w:p>
        </w:tc>
        <w:tc>
          <w:tcPr>
            <w:tcW w:type="dxa" w:w="2172"/>
          </w:tcPr>
          <w:p>
            <w:r/>
            <w:r>
              <w:rPr>
                <w:sz w:val="18"/>
              </w:rPr>
              <w:t>1.30x</w:t>
            </w:r>
          </w:p>
        </w:tc>
      </w:tr>
      <w:tr>
        <w:tc>
          <w:tcPr>
            <w:tcW w:type="dxa" w:w="5067"/>
            <w:shd w:val="clear" w:color="auto" w:fill="EEF3F6"/>
          </w:tcPr>
          <w:p>
            <w:r/>
            <w:r>
              <w:rPr>
                <w:sz w:val="18"/>
              </w:rPr>
              <w:t>Payback (from COD)</w:t>
            </w:r>
          </w:p>
        </w:tc>
        <w:tc>
          <w:tcPr>
            <w:tcW w:type="dxa" w:w="2172"/>
            <w:shd w:val="clear" w:color="auto" w:fill="EEF3F6"/>
          </w:tcPr>
          <w:p>
            <w:r/>
            <w:r>
              <w:rPr>
                <w:sz w:val="18"/>
              </w:rPr>
              <w:t>11.2 years</w:t>
            </w:r>
          </w:p>
        </w:tc>
        <w:tc>
          <w:tcPr>
            <w:tcW w:type="dxa" w:w="2172"/>
            <w:shd w:val="clear" w:color="auto" w:fill="EEF3F6"/>
          </w:tcPr>
          <w:p>
            <w:r/>
            <w:r>
              <w:rPr>
                <w:sz w:val="18"/>
              </w:rPr>
              <w:t>13.5 years</w:t>
            </w:r>
          </w:p>
        </w:tc>
      </w:tr>
      <w:tr>
        <w:tc>
          <w:tcPr>
            <w:tcW w:type="dxa" w:w="5067"/>
          </w:tcPr>
          <w:p>
            <w:r/>
            <w:r>
              <w:rPr>
                <w:sz w:val="18"/>
              </w:rPr>
              <w:t>Levelised cost of energy</w:t>
            </w:r>
          </w:p>
        </w:tc>
        <w:tc>
          <w:tcPr>
            <w:tcW w:type="dxa" w:w="2172"/>
          </w:tcPr>
          <w:p>
            <w:r/>
            <w:r>
              <w:rPr>
                <w:sz w:val="18"/>
              </w:rPr>
              <w:t>EUR 71 / MWh</w:t>
            </w:r>
          </w:p>
        </w:tc>
        <w:tc>
          <w:tcPr>
            <w:tcW w:type="dxa" w:w="2172"/>
          </w:tcPr>
          <w:p>
            <w:r/>
            <w:r>
              <w:rPr>
                <w:sz w:val="18"/>
              </w:rPr>
              <w:t>EUR 79 / MWh</w:t>
            </w:r>
          </w:p>
        </w:tc>
      </w:tr>
    </w:tbl>
    <w:p/>
    <w:p>
      <w:r>
        <w:t>The equity IRR exceeds the hurdle rate of 9.0 % for contracted offshore wind set in the investment policy. Around 42 % of the P50 output is sold under the 15-year PPA with Arcturus Steel AG, which is expected to be signed in the first half of 2026; the remainder benefits from a contract for difference. A 20 % decline of merchant prices in the post-CfD tail reduces the equity IRR by 0.7 percentage points.</w:t>
      </w:r>
    </w:p>
    <w:p>
      <w:pPr>
        <w:pStyle w:val="Heading1"/>
      </w:pPr>
      <w:r>
        <w:t>6. Key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941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5294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Mitigation</w:t>
            </w:r>
          </w:p>
        </w:tc>
        <w:tc>
          <w:tcPr>
            <w:tcW w:type="dxa" w:w="117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Rating</w:t>
            </w:r>
          </w:p>
        </w:tc>
      </w:tr>
      <w:tr>
        <w:tc>
          <w:tcPr>
            <w:tcW w:type="dxa" w:w="2941"/>
          </w:tcPr>
          <w:p>
            <w:r/>
            <w:r>
              <w:rPr>
                <w:sz w:val="18"/>
              </w:rPr>
              <w:t>Supply chain – export cable manufacturing</w:t>
            </w:r>
          </w:p>
        </w:tc>
        <w:tc>
          <w:tcPr>
            <w:tcW w:type="dxa" w:w="5294"/>
          </w:tcPr>
          <w:p>
            <w:r/>
            <w:r>
              <w:rPr>
                <w:sz w:val="18"/>
              </w:rPr>
              <w:t>Factory acceptance tests witnessed by owner's engineer; delay LDs under WE-CON-2025-031; 14 weeks float to COD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941"/>
            <w:shd w:val="clear" w:color="auto" w:fill="EEF3F6"/>
          </w:tcPr>
          <w:p>
            <w:r/>
            <w:r>
              <w:rPr>
                <w:sz w:val="18"/>
              </w:rPr>
              <w:t>Weather downtime during installation</w:t>
            </w:r>
          </w:p>
        </w:tc>
        <w:tc>
          <w:tcPr>
            <w:tcW w:type="dxa" w:w="5294"/>
            <w:shd w:val="clear" w:color="auto" w:fill="EEF3F6"/>
          </w:tcPr>
          <w:p>
            <w:r/>
            <w:r>
              <w:rPr>
                <w:sz w:val="18"/>
              </w:rPr>
              <w:t>P75 weather allowance in schedule; MV Sea Atlas charter with extension option</w:t>
            </w:r>
          </w:p>
        </w:tc>
        <w:tc>
          <w:tcPr>
            <w:tcW w:type="dxa" w:w="1176"/>
            <w:shd w:val="clear" w:color="auto" w:fill="EEF3F6"/>
          </w:tcPr>
          <w:p>
            <w:r/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941"/>
          </w:tcPr>
          <w:p>
            <w:r/>
            <w:r>
              <w:rPr>
                <w:sz w:val="18"/>
              </w:rPr>
              <w:t>Marine mammals and seabirds</w:t>
            </w:r>
          </w:p>
        </w:tc>
        <w:tc>
          <w:tcPr>
            <w:tcW w:type="dxa" w:w="5294"/>
          </w:tcPr>
          <w:p>
            <w:r/>
            <w:r>
              <w:rPr>
                <w:sz w:val="18"/>
              </w:rPr>
              <w:t>Bubble curtains, seasonal piling restrictions, monitoring by Marlow Ecology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Low</w:t>
            </w:r>
          </w:p>
        </w:tc>
      </w:tr>
      <w:tr>
        <w:tc>
          <w:tcPr>
            <w:tcW w:type="dxa" w:w="2941"/>
            <w:shd w:val="clear" w:color="auto" w:fill="EEF3F6"/>
          </w:tcPr>
          <w:p>
            <w:r/>
            <w:r>
              <w:rPr>
                <w:sz w:val="18"/>
              </w:rPr>
              <w:t>Interest rates</w:t>
            </w:r>
          </w:p>
        </w:tc>
        <w:tc>
          <w:tcPr>
            <w:tcW w:type="dxa" w:w="5294"/>
            <w:shd w:val="clear" w:color="auto" w:fill="EEF3F6"/>
          </w:tcPr>
          <w:p>
            <w:r/>
            <w:r>
              <w:rPr>
                <w:sz w:val="18"/>
              </w:rPr>
              <w:t>85 % hedged at 2.74 % at financial close</w:t>
            </w:r>
          </w:p>
        </w:tc>
        <w:tc>
          <w:tcPr>
            <w:tcW w:type="dxa" w:w="1176"/>
            <w:shd w:val="clear" w:color="auto" w:fill="EEF3F6"/>
          </w:tcPr>
          <w:p>
            <w:r/>
            <w:r>
              <w:rPr>
                <w:sz w:val="18"/>
              </w:rPr>
              <w:t>Low</w:t>
            </w:r>
          </w:p>
        </w:tc>
      </w:tr>
      <w:tr>
        <w:tc>
          <w:tcPr>
            <w:tcW w:type="dxa" w:w="2941"/>
          </w:tcPr>
          <w:p>
            <w:r/>
            <w:r>
              <w:rPr>
                <w:sz w:val="18"/>
              </w:rPr>
              <w:t>Grid connection by NordGrid Transmission</w:t>
            </w:r>
          </w:p>
        </w:tc>
        <w:tc>
          <w:tcPr>
            <w:tcW w:type="dxa" w:w="5294"/>
          </w:tcPr>
          <w:p>
            <w:r/>
            <w:r>
              <w:rPr>
                <w:sz w:val="18"/>
              </w:rPr>
              <w:t>Connection agreement signed; onshore works started 2025</w:t>
            </w:r>
          </w:p>
        </w:tc>
        <w:tc>
          <w:tcPr>
            <w:tcW w:type="dxa" w:w="1176"/>
          </w:tcPr>
          <w:p>
            <w:r/>
            <w:r>
              <w:rPr>
                <w:sz w:val="18"/>
              </w:rPr>
              <w:t>Low</w:t>
            </w:r>
          </w:p>
        </w:tc>
      </w:tr>
    </w:tbl>
    <w:p/>
    <w:p>
      <w:pPr>
        <w:pStyle w:val="Heading1"/>
      </w:pPr>
      <w:r>
        <w:t>7. Conditions precedent</w:t>
      </w:r>
    </w:p>
    <w:p>
      <w:pPr>
        <w:pStyle w:val="ListBullet"/>
      </w:pPr>
      <w:r>
        <w:t>Credit approvals of all five lenders (received 3 February 2026)</w:t>
      </w:r>
    </w:p>
    <w:p>
      <w:pPr>
        <w:pStyle w:val="ListBullet"/>
      </w:pPr>
      <w:r>
        <w:t>Lenders' technical adviser Strandberg Technical Advisory – final report without material findings</w:t>
      </w:r>
    </w:p>
    <w:p>
      <w:pPr>
        <w:pStyle w:val="ListBullet"/>
      </w:pPr>
      <w:r>
        <w:t>Model audit by Keller &amp; Rowe – clean opinion</w:t>
      </w:r>
    </w:p>
    <w:p>
      <w:pPr>
        <w:pStyle w:val="ListBullet"/>
      </w:pPr>
      <w:r>
        <w:t>Insurance programme placed (construction all risks, delay in start-up)</w:t>
      </w:r>
    </w:p>
    <w:p>
      <w:pPr>
        <w:pStyle w:val="ListBullet"/>
      </w:pPr>
      <w:r>
        <w:t>Capital increase of EUR 140 m subscribed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Harrow Bay Offshore Wind – Final Investment Decision  ·  WE-SB-2026-02-FID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STRICTLY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Harrow Bay Offshore Wind – Final Investment Decision</dc:title>
  <dc:subject>Board paper for the extraordinary meeting of the Supervisory Board, 12 February 2026</dc:subject>
  <dc:creator>Jonas Richter</dc:creator>
  <cp:keywords>board, confidential, final</cp:keywords>
  <dc:description>generated by python-docx</dc:description>
  <cp:lastModifiedBy>Jonas Richter</cp:lastModifiedBy>
  <cp:revision>1</cp:revision>
  <dcterms:created xsi:type="dcterms:W3CDTF">2026-01-14T10:00:00Z</dcterms:created>
  <dcterms:modified xsi:type="dcterms:W3CDTF">2026-02-03T10:00:00Z</dcterms:modified>
  <cp:category/>
</cp:coreProperties>
</file>