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EU Innovation Fund – Application Draft</w:t>
      </w:r>
    </w:p>
    <w:p>
      <w:r>
        <w:rPr>
          <w:color w:val="1FA2A6"/>
          <w:sz w:val="25"/>
        </w:rPr>
        <w:t>H2-EASTHOLM · Green Hydrogen Pilot at Port of Eastholm</w:t>
      </w:r>
    </w:p>
    <w:p>
      <w:pPr>
        <w:pBdr>
          <w:bottom w:val="single" w:sz="12" w:space="6" w:color="1FA2A6"/>
        </w:pBdr>
      </w:pPr>
      <w:r>
        <w:rPr>
          <w:color w:val="4A5A68"/>
          <w:sz w:val="18"/>
        </w:rPr>
        <w:t>Elena Márquez  ·  22 September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DRAFT – do not circulate outside the project team. Section 4 and 6 still need Arcturus input.</w:t>
            </w:r>
          </w:p>
        </w:tc>
      </w:tr>
    </w:tbl>
    <w:p/>
    <w:p>
      <w:pPr>
        <w:pStyle w:val="Heading1"/>
      </w:pPr>
      <w:r>
        <w:t>1. Project summary (max. 2,000 characters)</w:t>
      </w:r>
    </w:p>
    <w:p>
      <w:r>
        <w:t>H2-EASTHOLM is a first-of-a-kind 5 MW PEM electrolyser at the Port of Eastholm that converts offshore wind power from the Harrow Bay Offshore Wind farm into renewable hydrogen for the reheating furnace of the Arcturus Steel rolling mill. It produces about 481 t of renewable hydrogen per year and avoids around 3.2 kt of CO2 per year in the steel sector, a hard-to-abate industry. The project demonstrates the direct coupling of an offshore wind PPA, an electrolyser and an industrial heat user in a port, a model that is replicable at many European ports with steel, glass or ceramics industry nearby.</w:t>
      </w:r>
    </w:p>
    <w:p>
      <w:pPr>
        <w:pStyle w:val="Heading1"/>
      </w:pPr>
      <w:r>
        <w:t>2. Degree of innovation</w:t>
      </w:r>
    </w:p>
    <w:p>
      <w:pPr>
        <w:pStyle w:val="ListBullet"/>
      </w:pPr>
      <w:r>
        <w:t>Integrated offshore wind – electrolyser – furnace value chain under one corporate PPA framework (WE-PPA-2026-004).</w:t>
      </w:r>
    </w:p>
    <w:p>
      <w:pPr>
        <w:pStyle w:val="ListBullet"/>
      </w:pPr>
      <w:r>
        <w:t>Dynamic electrolyser operation following wind output with grid top-up only in low-price hours.</w:t>
      </w:r>
    </w:p>
    <w:p>
      <w:pPr>
        <w:pStyle w:val="ListBullet"/>
      </w:pPr>
      <w:r>
        <w:t>Hydrogen co-firing in a steel reheating furnace at up to 30 % by energy – first in this region.</w:t>
      </w:r>
    </w:p>
    <w:p>
      <w:pPr>
        <w:pStyle w:val="Heading1"/>
      </w:pPr>
      <w:r>
        <w:t>3. GHG emission avoidance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Value</w:t>
            </w:r>
          </w:p>
        </w:tc>
      </w:tr>
      <w:tr>
        <w:tc>
          <w:tcPr>
            <w:tcW w:type="dxa" w:w="4706"/>
          </w:tcPr>
          <w:p>
            <w:r/>
            <w:r>
              <w:rPr>
                <w:sz w:val="18"/>
              </w:rPr>
              <w:t>Natural gas replaced</w:t>
            </w:r>
          </w:p>
        </w:tc>
        <w:tc>
          <w:tcPr>
            <w:tcW w:type="dxa" w:w="4706"/>
          </w:tcPr>
          <w:p>
            <w:r/>
            <w:r>
              <w:rPr>
                <w:sz w:val="18"/>
              </w:rPr>
              <w:t>≈ 16.0 GWh/a</w:t>
            </w:r>
          </w:p>
        </w:tc>
      </w:tr>
      <w:tr>
        <w:tc>
          <w:tcPr>
            <w:tcW w:type="dxa" w:w="4706"/>
            <w:shd w:val="clear" w:color="auto" w:fill="EEF3F6"/>
          </w:tcPr>
          <w:p>
            <w:r/>
            <w:r>
              <w:rPr>
                <w:sz w:val="18"/>
              </w:rPr>
              <w:t>Absolute GHG avoidance (10 years)</w:t>
            </w:r>
          </w:p>
        </w:tc>
        <w:tc>
          <w:tcPr>
            <w:tcW w:type="dxa" w:w="4706"/>
            <w:shd w:val="clear" w:color="auto" w:fill="EEF3F6"/>
          </w:tcPr>
          <w:p>
            <w:r/>
            <w:r>
              <w:rPr>
                <w:sz w:val="18"/>
              </w:rPr>
              <w:t>≈ 32 kt CO2e</w:t>
            </w:r>
          </w:p>
        </w:tc>
      </w:tr>
      <w:tr>
        <w:tc>
          <w:tcPr>
            <w:tcW w:type="dxa" w:w="4706"/>
          </w:tcPr>
          <w:p>
            <w:r/>
            <w:r>
              <w:rPr>
                <w:sz w:val="18"/>
              </w:rPr>
              <w:t>Relative avoidance vs. reference</w:t>
            </w:r>
          </w:p>
        </w:tc>
        <w:tc>
          <w:tcPr>
            <w:tcW w:type="dxa" w:w="4706"/>
          </w:tcPr>
          <w:p>
            <w:r/>
            <w:r>
              <w:rPr>
                <w:sz w:val="18"/>
              </w:rPr>
              <w:t>≈ 88 %</w:t>
            </w:r>
          </w:p>
        </w:tc>
      </w:tr>
    </w:tbl>
    <w:p/>
    <w:p>
      <w:pPr>
        <w:pStyle w:val="Heading1"/>
      </w:pPr>
      <w:r>
        <w:t>4. Project maturity</w:t>
      </w:r>
    </w:p>
    <w:p>
      <w:r>
        <w:t>Feasibility study completed on 28 August 2026; MoU with Arcturus signed 18 March 2026; site secured under port lease options; FEED to start Q4 2026. [Arcturus to add: board approval status for burner modifications.]</w:t>
      </w:r>
    </w:p>
    <w:p>
      <w:pPr>
        <w:pStyle w:val="Heading1"/>
      </w:pPr>
      <w:r>
        <w:t>5. Scalability</w:t>
      </w:r>
    </w:p>
    <w:p>
      <w:r>
        <w:t>Phase 2 (20 MW) could supply all three furnace zones and the port's planned hydrogen bunkering facility. Weyland's 4.2 GW pipeline offers further sites with industrial offtakers nearby.</w:t>
      </w:r>
    </w:p>
    <w:p>
      <w:pPr>
        <w:pStyle w:val="Heading1"/>
      </w:pPr>
      <w:r>
        <w:t>6. Cost efficiency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EUR m</w:t>
            </w:r>
          </w:p>
        </w:tc>
      </w:tr>
      <w:tr>
        <w:tc>
          <w:tcPr>
            <w:tcW w:type="dxa" w:w="4706"/>
          </w:tcPr>
          <w:p>
            <w:r/>
            <w:r>
              <w:rPr>
                <w:sz w:val="18"/>
              </w:rPr>
              <w:t>Total capex</w:t>
            </w:r>
          </w:p>
        </w:tc>
        <w:tc>
          <w:tcPr>
            <w:tcW w:type="dxa" w:w="4706"/>
          </w:tcPr>
          <w:p>
            <w:r/>
            <w:r>
              <w:rPr>
                <w:sz w:val="18"/>
              </w:rPr>
              <w:t>21.5</w:t>
            </w:r>
          </w:p>
        </w:tc>
      </w:tr>
      <w:tr>
        <w:tc>
          <w:tcPr>
            <w:tcW w:type="dxa" w:w="4706"/>
            <w:shd w:val="clear" w:color="auto" w:fill="EEF3F6"/>
          </w:tcPr>
          <w:p>
            <w:r/>
            <w:r>
              <w:rPr>
                <w:sz w:val="18"/>
              </w:rPr>
              <w:t>Relevant costs (capex + 10 years opex, net of revenues)</w:t>
            </w:r>
          </w:p>
        </w:tc>
        <w:tc>
          <w:tcPr>
            <w:tcW w:type="dxa" w:w="4706"/>
            <w:shd w:val="clear" w:color="auto" w:fill="EEF3F6"/>
          </w:tcPr>
          <w:p>
            <w:r/>
            <w:r>
              <w:rPr>
                <w:sz w:val="18"/>
              </w:rPr>
              <w:t>17.6</w:t>
            </w:r>
          </w:p>
        </w:tc>
      </w:tr>
      <w:tr>
        <w:tc>
          <w:tcPr>
            <w:tcW w:type="dxa" w:w="4706"/>
          </w:tcPr>
          <w:p>
            <w:r/>
            <w:r>
              <w:rPr>
                <w:sz w:val="18"/>
              </w:rPr>
              <w:t>Requested grant (≈ 60 % of relevant costs)</w:t>
            </w:r>
          </w:p>
        </w:tc>
        <w:tc>
          <w:tcPr>
            <w:tcW w:type="dxa" w:w="4706"/>
          </w:tcPr>
          <w:p>
            <w:r/>
            <w:r>
              <w:rPr>
                <w:sz w:val="18"/>
              </w:rPr>
              <w:t>10.5</w:t>
            </w:r>
          </w:p>
        </w:tc>
      </w:tr>
    </w:tbl>
    <w:p/>
    <w:p>
      <w:r>
        <w:t>Levelised cost of hydrogen: EUR 9.72/kg without and EUR 7.66/kg with the grant.</w:t>
      </w:r>
    </w:p>
    <w:p>
      <w:pPr>
        <w:pStyle w:val="Heading1"/>
      </w:pPr>
      <w:r>
        <w:t>7. Work plan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Work package</w:t>
            </w:r>
          </w:p>
        </w:tc>
        <w:tc>
          <w:tcPr>
            <w:tcW w:type="dxa" w:w="3137"/>
            <w:shd w:val="clear" w:color="auto" w:fill="0B3C5D"/>
          </w:tcPr>
          <w:p>
            <w:r/>
            <w:r>
              <w:rPr>
                <w:b/>
                <w:color w:val="FFFFFF"/>
                <w:sz w:val="18"/>
              </w:rPr>
              <w:t>Lead</w:t>
            </w:r>
          </w:p>
        </w:tc>
        <w:tc>
          <w:tcPr>
            <w:tcW w:type="dxa" w:w="3137"/>
            <w:shd w:val="clear" w:color="auto" w:fill="0B3C5D"/>
          </w:tcPr>
          <w:p>
            <w:r/>
            <w:r>
              <w:rPr>
                <w:b/>
                <w:color w:val="FFFFFF"/>
                <w:sz w:val="18"/>
              </w:rPr>
              <w:t>Period</w:t>
            </w:r>
          </w:p>
        </w:tc>
      </w:tr>
      <w:tr>
        <w:tc>
          <w:tcPr>
            <w:tcW w:type="dxa" w:w="3137"/>
          </w:tcPr>
          <w:p>
            <w:r/>
            <w:r>
              <w:rPr>
                <w:sz w:val="18"/>
              </w:rPr>
              <w:t>WP1 Project management</w:t>
            </w:r>
          </w:p>
        </w:tc>
        <w:tc>
          <w:tcPr>
            <w:tcW w:type="dxa" w:w="3137"/>
          </w:tcPr>
          <w:p>
            <w:r/>
            <w:r>
              <w:rPr>
                <w:sz w:val="18"/>
              </w:rPr>
              <w:t>Weyland</w:t>
            </w:r>
          </w:p>
        </w:tc>
        <w:tc>
          <w:tcPr>
            <w:tcW w:type="dxa" w:w="3137"/>
          </w:tcPr>
          <w:p>
            <w:r/>
            <w:r>
              <w:rPr>
                <w:sz w:val="18"/>
              </w:rPr>
              <w:t>2027–2029</w:t>
            </w:r>
          </w:p>
        </w:tc>
      </w:tr>
      <w:tr>
        <w:tc>
          <w:tcPr>
            <w:tcW w:type="dxa" w:w="3137"/>
            <w:shd w:val="clear" w:color="auto" w:fill="EEF3F6"/>
          </w:tcPr>
          <w:p>
            <w:r/>
            <w:r>
              <w:rPr>
                <w:sz w:val="18"/>
              </w:rPr>
              <w:t>WP2 FEED and permitting</w:t>
            </w:r>
          </w:p>
        </w:tc>
        <w:tc>
          <w:tcPr>
            <w:tcW w:type="dxa" w:w="3137"/>
            <w:shd w:val="clear" w:color="auto" w:fill="EEF3F6"/>
          </w:tcPr>
          <w:p>
            <w:r/>
            <w:r>
              <w:rPr>
                <w:sz w:val="18"/>
              </w:rPr>
              <w:t>Weyland</w:t>
            </w:r>
          </w:p>
        </w:tc>
        <w:tc>
          <w:tcPr>
            <w:tcW w:type="dxa" w:w="3137"/>
            <w:shd w:val="clear" w:color="auto" w:fill="EEF3F6"/>
          </w:tcPr>
          <w:p>
            <w:r/>
            <w:r>
              <w:rPr>
                <w:sz w:val="18"/>
              </w:rPr>
              <w:t>Q4 2026 – Q3 2027</w:t>
            </w:r>
          </w:p>
        </w:tc>
      </w:tr>
      <w:tr>
        <w:tc>
          <w:tcPr>
            <w:tcW w:type="dxa" w:w="3137"/>
          </w:tcPr>
          <w:p>
            <w:r/>
            <w:r>
              <w:rPr>
                <w:sz w:val="18"/>
              </w:rPr>
              <w:t>WP3 Procurement and construction</w:t>
            </w:r>
          </w:p>
        </w:tc>
        <w:tc>
          <w:tcPr>
            <w:tcW w:type="dxa" w:w="3137"/>
          </w:tcPr>
          <w:p>
            <w:r/>
            <w:r>
              <w:rPr>
                <w:sz w:val="18"/>
              </w:rPr>
              <w:t>Weyland</w:t>
            </w:r>
          </w:p>
        </w:tc>
        <w:tc>
          <w:tcPr>
            <w:tcW w:type="dxa" w:w="3137"/>
          </w:tcPr>
          <w:p>
            <w:r/>
            <w:r>
              <w:rPr>
                <w:sz w:val="18"/>
              </w:rPr>
              <w:t>Q4 2027 – Q3 2028</w:t>
            </w:r>
          </w:p>
        </w:tc>
      </w:tr>
      <w:tr>
        <w:tc>
          <w:tcPr>
            <w:tcW w:type="dxa" w:w="3137"/>
            <w:shd w:val="clear" w:color="auto" w:fill="EEF3F6"/>
          </w:tcPr>
          <w:p>
            <w:r/>
            <w:r>
              <w:rPr>
                <w:sz w:val="18"/>
              </w:rPr>
              <w:t>WP4 Furnace integration</w:t>
            </w:r>
          </w:p>
        </w:tc>
        <w:tc>
          <w:tcPr>
            <w:tcW w:type="dxa" w:w="3137"/>
            <w:shd w:val="clear" w:color="auto" w:fill="EEF3F6"/>
          </w:tcPr>
          <w:p>
            <w:r/>
            <w:r>
              <w:rPr>
                <w:sz w:val="18"/>
              </w:rPr>
              <w:t>Arcturus</w:t>
            </w:r>
          </w:p>
        </w:tc>
        <w:tc>
          <w:tcPr>
            <w:tcW w:type="dxa" w:w="3137"/>
            <w:shd w:val="clear" w:color="auto" w:fill="EEF3F6"/>
          </w:tcPr>
          <w:p>
            <w:r/>
            <w:r>
              <w:rPr>
                <w:sz w:val="18"/>
              </w:rPr>
              <w:t>Q1 2028 – Q4 2028</w:t>
            </w:r>
          </w:p>
        </w:tc>
      </w:tr>
      <w:tr>
        <w:tc>
          <w:tcPr>
            <w:tcW w:type="dxa" w:w="3137"/>
          </w:tcPr>
          <w:p>
            <w:r/>
            <w:r>
              <w:rPr>
                <w:sz w:val="18"/>
              </w:rPr>
              <w:t>WP5 Operation and knowledge sharing</w:t>
            </w:r>
          </w:p>
        </w:tc>
        <w:tc>
          <w:tcPr>
            <w:tcW w:type="dxa" w:w="3137"/>
          </w:tcPr>
          <w:p>
            <w:r/>
            <w:r>
              <w:rPr>
                <w:sz w:val="18"/>
              </w:rPr>
              <w:t>Both</w:t>
            </w:r>
          </w:p>
        </w:tc>
        <w:tc>
          <w:tcPr>
            <w:tcW w:type="dxa" w:w="3137"/>
          </w:tcPr>
          <w:p>
            <w:r/>
            <w:r>
              <w:rPr>
                <w:sz w:val="18"/>
              </w:rPr>
              <w:t>Q4 2028 – Q4 2031</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EU Innovation Fund – Application Draft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Innovation Fund – Application Draft</dc:title>
  <dc:subject>H2-EASTHOLM · Green Hydrogen Pilot at Port of Eastholm</dc:subject>
  <dc:creator>Elena Márquez</dc:creator>
  <cp:keywords>draft, confidential</cp:keywords>
  <dc:description>generated by python-docx</dc:description>
  <cp:lastModifiedBy>Elena Márquez</cp:lastModifiedBy>
  <cp:revision>1</cp:revision>
  <dcterms:created xsi:type="dcterms:W3CDTF">2026-09-01T10:00:00Z</dcterms:created>
  <dcterms:modified xsi:type="dcterms:W3CDTF">2026-09-22T10:00:00Z</dcterms:modified>
  <cp:category/>
</cp:coreProperties>
</file>