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B3C5D"/>
          <w:sz w:val="44"/>
        </w:rPr>
        <w:t>Connection Queue Reform – Consultation Response</w:t>
      </w:r>
    </w:p>
    <w:p>
      <w:r>
        <w:rPr>
          <w:color w:val="1FA2A6"/>
          <w:sz w:val="25"/>
        </w:rPr>
        <w:t>Response to NordGrid Transmission</w:t>
      </w:r>
    </w:p>
    <w:p>
      <w:pPr>
        <w:pBdr>
          <w:bottom w:val="single" w:sz="12" w:space="6" w:color="1FA2A6"/>
        </w:pBdr>
      </w:pPr>
      <w:r>
        <w:rPr>
          <w:color w:val="4A5A68"/>
          <w:sz w:val="18"/>
        </w:rPr>
        <w:t>Sofie Lindqvist  ·  06 March 2026</w:t>
      </w:r>
    </w:p>
    <w:p>
      <w:pPr>
        <w:pStyle w:val="Heading1"/>
      </w:pPr>
      <w:r>
        <w:t>1. Summary</w:t>
      </w:r>
    </w:p>
    <w:p>
      <w:r>
        <w:t xml:space="preserve">Weyland Energy welcomes NordGrid's proposal to reform the connection queue. Today, many queue positions are held by projects that will never be built, which pushes back viable projects such as our Fenwick Battery Storage scheme. We support a </w:t>
      </w:r>
      <w:r>
        <w:rPr>
          <w:b/>
        </w:rPr>
        <w:t>Gate 2</w:t>
      </w:r>
      <w:r>
        <w:t xml:space="preserve"> readiness test based on land rights and planning progress, with some changes.</w:t>
      </w:r>
    </w:p>
    <w:p>
      <w:pPr>
        <w:pStyle w:val="Heading1"/>
      </w:pPr>
      <w:r>
        <w:t>2. Answers to consultation questions</w:t>
      </w:r>
    </w:p>
    <w:sectPr w:rsidR="00FC693F" w:rsidRPr="0006063C" w:rsidSect="00034616">
      <w:headerReference w:type="default" r:id="rId9"/>
      <w:footerReference w:type="default" r:id="rId10"/>
      <w:pgSz w:w="11906" w:h="16838"/>
      <w:pgMar w:top="130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A5A68"/>
        <w:sz w:val="16"/>
      </w:rPr>
      <w:t>Connection Queue Reform – Consultation Response</w:t>
      <w:tab/>
      <w:tab/>
      <w:t xml:space="preserve">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0B3C5D"/>
        <w:sz w:val="18"/>
      </w:rPr>
      <w:t>WEYLAND</w:t>
    </w:r>
    <w:r>
      <w:rPr>
        <w:color w:val="1FA2A6"/>
        <w:sz w:val="18"/>
      </w:rPr>
      <w:t xml:space="preserve"> ENERGY</w:t>
    </w:r>
    <w:r>
      <w:rPr>
        <w:b/>
        <w:color w:val="E4572E"/>
        <w:sz w:val="16"/>
      </w:rPr>
      <w:tab/>
      <w:tab/>
      <w:t>PUBLIC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2230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Arial" w:hAnsi="Arial" w:cs="Arial" w:eastAsia="Arial"/>
      <w:b/>
      <w:bCs/>
      <w:color w:val="0B3C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cs="Arial" w:eastAsia="Arial"/>
      <w:b/>
      <w:bCs/>
      <w:color w:val="0B3C5D"/>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cs="Arial" w:eastAsia="Arial"/>
      <w:b/>
      <w:bCs/>
      <w:color w:val="1FA2A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Connection Queue Reform – Consultation Response</dc:title>
  <dc:subject>Response to NordGrid Transmission</dc:subject>
  <dc:creator>Sofie Lindqvist</dc:creator>
  <cp:keywords>final, external</cp:keywords>
  <dc:description>generated by python-docx</dc:description>
  <cp:lastModifiedBy>Sofie Lindqvist</cp:lastModifiedBy>
  <cp:revision>1</cp:revision>
  <dcterms:created xsi:type="dcterms:W3CDTF">2026-02-23T10:00:00Z</dcterms:created>
  <dcterms:modified xsi:type="dcterms:W3CDTF">2026-03-06T10:00:00Z</dcterms:modified>
  <cp:category/>
</cp:coreProperties>
</file>