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Engagement Action Plan 2026</w:t>
      </w:r>
    </w:p>
    <w:p>
      <w:r>
        <w:rPr>
          <w:color w:val="1FA2A6"/>
          <w:sz w:val="25"/>
        </w:rPr>
        <w:t>Company-wide and department actions after the June survey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Julia Hoffmann  ·  05 August 2026</w:t>
      </w:r>
    </w:p>
    <w:p>
      <w:r>
        <w:t>Draft – company-wide actions only.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Due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Technician career path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Julia Hoffmann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2026-12-15</w:t>
            </w:r>
          </w:p>
        </w:tc>
      </w:tr>
      <w:tr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Meeting-free Friday mornings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Executive Board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2026-09-01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Engagement Action Plan 2026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Engagement Action Plan 2026</dc:title>
  <dc:subject>Company-wide and department actions after the June survey</dc:subject>
  <dc:creator>Julia Hoffmann</dc:creator>
  <cp:keywords>in review</cp:keywords>
  <dc:description>generated by python-docx</dc:description>
  <cp:lastModifiedBy>Julia Hoffmann</cp:lastModifiedBy>
  <cp:revision>1</cp:revision>
  <dcterms:created xsi:type="dcterms:W3CDTF">2026-07-14T10:00:00Z</dcterms:created>
  <dcterms:modified xsi:type="dcterms:W3CDTF">2026-08-05T10:00:00Z</dcterms:modified>
  <cp:category/>
</cp:coreProperties>
</file>