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Project Execution Plan</w:t>
      </w:r>
    </w:p>
    <w:p>
      <w:r>
        <w:rPr>
          <w:color w:val="1FA2A6"/>
          <w:sz w:val="25"/>
        </w:rPr>
        <w:t>Harrow Bay Offshore Wind – Revision 2</w:t>
      </w:r>
    </w:p>
    <w:p>
      <w:pPr>
        <w:pBdr>
          <w:bottom w:val="single" w:sz="12" w:space="6" w:color="1FA2A6"/>
        </w:pBdr>
      </w:pPr>
      <w:r>
        <w:rPr>
          <w:color w:val="4A5A68"/>
          <w:sz w:val="18"/>
        </w:rPr>
        <w:t>Elena Márquez  ·  20 February 2026  ·  HB-PM-PLN-0001</w:t>
      </w:r>
    </w:p>
    <w:p>
      <w:pPr>
        <w:pStyle w:val="Heading1"/>
      </w:pPr>
      <w:r>
        <w:t>1. Purpose and scope</w:t>
      </w:r>
    </w:p>
    <w:p>
      <w:r>
        <w:t xml:space="preserve">This Project Execution Plan (PEP) describes how Weyland Energy will deliver the </w:t>
      </w:r>
      <w:r>
        <w:rPr>
          <w:b/>
        </w:rPr>
        <w:t>Harrow Bay Offshore Wind</w:t>
      </w:r>
      <w:r>
        <w:t xml:space="preserve"> project from financial close to commercial operation. It is the top-level management document of the project and is binding for the project team, the package managers and – through the contract interface documents – our main contractors. The plan is reviewed quarterly by the Project Director and re-issued after every major re-baseline.</w:t>
      </w:r>
    </w:p>
    <w:p>
      <w:r>
        <w:t>Harrow Bay is a 480 MW offshore wind farm located 38 km off the coast of Harrow Bay in the UK North Sea. It comprises 40 Halden HTS-12 turbines (12 MW, 236 m rotor, 140 m hub height) on 9.5 m monopiles in 28–36 m water depth, around 95 km of 66 kV array cables, the offshore substation HB-OSS and two 220 kV export cables of 62 km each to the onshore substation Harrow Bay East. Expected annual generation is 1.9 TWh, equivalent to the consumption of around 520,000 homes.</w:t>
      </w:r>
    </w:p>
    <w:p>
      <w:pPr>
        <w:pStyle w:val="Heading1"/>
      </w:pPr>
      <w:r>
        <w:t>2. Objectives</w:t>
      </w:r>
    </w:p>
    <w:tbl>
      <w:tblPr>
        <w:tblStyle w:val="TableGrid"/>
        <w:tblW w:type="auto" w:w="0"/>
        <w:jc w:val="center"/>
        <w:tblLook w:firstColumn="1" w:firstRow="1" w:lastColumn="0" w:lastRow="0" w:noHBand="0" w:noVBand="1" w:val="04A0"/>
      </w:tblPr>
      <w:tblGrid>
        <w:gridCol w:w="4706"/>
        <w:gridCol w:w="4706"/>
      </w:tblGrid>
      <w:tr>
        <w:tc>
          <w:tcPr>
            <w:tcW w:type="dxa" w:w="1882"/>
            <w:shd w:val="clear" w:color="auto" w:fill="0B3C5D"/>
          </w:tcPr>
          <w:p>
            <w:r/>
            <w:r>
              <w:rPr>
                <w:b/>
                <w:color w:val="FFFFFF"/>
                <w:sz w:val="18"/>
              </w:rPr>
              <w:t>Objective</w:t>
            </w:r>
          </w:p>
        </w:tc>
        <w:tc>
          <w:tcPr>
            <w:tcW w:type="dxa" w:w="7529"/>
            <w:shd w:val="clear" w:color="auto" w:fill="0B3C5D"/>
          </w:tcPr>
          <w:p>
            <w:r/>
            <w:r>
              <w:rPr>
                <w:b/>
                <w:color w:val="FFFFFF"/>
                <w:sz w:val="18"/>
              </w:rPr>
              <w:t>Target</w:t>
            </w:r>
          </w:p>
        </w:tc>
      </w:tr>
      <w:tr>
        <w:tc>
          <w:tcPr>
            <w:tcW w:type="dxa" w:w="1882"/>
          </w:tcPr>
          <w:p>
            <w:r/>
            <w:r>
              <w:rPr>
                <w:sz w:val="18"/>
              </w:rPr>
              <w:t>Safety</w:t>
            </w:r>
          </w:p>
        </w:tc>
        <w:tc>
          <w:tcPr>
            <w:tcW w:type="dxa" w:w="7529"/>
          </w:tcPr>
          <w:p>
            <w:r/>
            <w:r>
              <w:rPr>
                <w:sz w:val="18"/>
              </w:rPr>
              <w:t>Zero harm – LTIF 0, all incidents investigated within 10 working days</w:t>
            </w:r>
          </w:p>
        </w:tc>
      </w:tr>
      <w:tr>
        <w:tc>
          <w:tcPr>
            <w:tcW w:type="dxa" w:w="1882"/>
            <w:shd w:val="clear" w:color="auto" w:fill="EEF3F6"/>
          </w:tcPr>
          <w:p>
            <w:r/>
            <w:r>
              <w:rPr>
                <w:sz w:val="18"/>
              </w:rPr>
              <w:t>Schedule</w:t>
            </w:r>
          </w:p>
        </w:tc>
        <w:tc>
          <w:tcPr>
            <w:tcW w:type="dxa" w:w="7529"/>
            <w:shd w:val="clear" w:color="auto" w:fill="EEF3F6"/>
          </w:tcPr>
          <w:p>
            <w:r/>
            <w:r>
              <w:rPr>
                <w:sz w:val="18"/>
              </w:rPr>
              <w:t>First power 30 Sep 2027, COD 30 Jun 2028</w:t>
            </w:r>
          </w:p>
        </w:tc>
      </w:tr>
      <w:tr>
        <w:tc>
          <w:tcPr>
            <w:tcW w:type="dxa" w:w="1882"/>
          </w:tcPr>
          <w:p>
            <w:r/>
            <w:r>
              <w:rPr>
                <w:sz w:val="18"/>
              </w:rPr>
              <w:t>Cost</w:t>
            </w:r>
          </w:p>
        </w:tc>
        <w:tc>
          <w:tcPr>
            <w:tcW w:type="dxa" w:w="7529"/>
          </w:tcPr>
          <w:p>
            <w:r/>
            <w:r>
              <w:rPr>
                <w:sz w:val="18"/>
              </w:rPr>
              <w:t>Total capex within the approved budget of EUR 1,620 m incl. EUR 55 m contingency</w:t>
            </w:r>
          </w:p>
        </w:tc>
      </w:tr>
      <w:tr>
        <w:tc>
          <w:tcPr>
            <w:tcW w:type="dxa" w:w="1882"/>
            <w:shd w:val="clear" w:color="auto" w:fill="EEF3F6"/>
          </w:tcPr>
          <w:p>
            <w:r/>
            <w:r>
              <w:rPr>
                <w:sz w:val="18"/>
              </w:rPr>
              <w:t>Environment</w:t>
            </w:r>
          </w:p>
        </w:tc>
        <w:tc>
          <w:tcPr>
            <w:tcW w:type="dxa" w:w="7529"/>
            <w:shd w:val="clear" w:color="auto" w:fill="EEF3F6"/>
          </w:tcPr>
          <w:p>
            <w:r/>
            <w:r>
              <w:rPr>
                <w:sz w:val="18"/>
              </w:rPr>
              <w:t>Full compliance with the development consent and marine licence conditions</w:t>
            </w:r>
          </w:p>
        </w:tc>
      </w:tr>
      <w:tr>
        <w:tc>
          <w:tcPr>
            <w:tcW w:type="dxa" w:w="1882"/>
          </w:tcPr>
          <w:p>
            <w:r/>
            <w:r>
              <w:rPr>
                <w:sz w:val="18"/>
              </w:rPr>
              <w:t>Offtake</w:t>
            </w:r>
          </w:p>
        </w:tc>
        <w:tc>
          <w:tcPr>
            <w:tcW w:type="dxa" w:w="7529"/>
          </w:tcPr>
          <w:p>
            <w:r/>
            <w:r>
              <w:rPr>
                <w:sz w:val="18"/>
              </w:rPr>
              <w:t>150 MW available for PPA WE-PPA-2026-004 (Arcturus Steel) from COD</w:t>
            </w:r>
          </w:p>
        </w:tc>
      </w:tr>
      <w:tr>
        <w:tc>
          <w:tcPr>
            <w:tcW w:type="dxa" w:w="1882"/>
            <w:shd w:val="clear" w:color="auto" w:fill="EEF3F6"/>
          </w:tcPr>
          <w:p>
            <w:r/>
            <w:r>
              <w:rPr>
                <w:sz w:val="18"/>
              </w:rPr>
              <w:t>Quality</w:t>
            </w:r>
          </w:p>
        </w:tc>
        <w:tc>
          <w:tcPr>
            <w:tcW w:type="dxa" w:w="7529"/>
            <w:shd w:val="clear" w:color="auto" w:fill="EEF3F6"/>
          </w:tcPr>
          <w:p>
            <w:r/>
            <w:r>
              <w:rPr>
                <w:sz w:val="18"/>
              </w:rPr>
              <w:t>No open category A non-conformances at handover to operations</w:t>
            </w:r>
          </w:p>
        </w:tc>
      </w:tr>
    </w:tbl>
    <w:p/>
    <w:p>
      <w:pPr>
        <w:pStyle w:val="Heading1"/>
      </w:pPr>
      <w:r>
        <w:t>3. Project organisation</w:t>
      </w:r>
    </w:p>
    <w:p>
      <w:r>
        <w:t>The project is led by the Project Director, Elena Márquez (Edinburgh), who reports to the Harrow Bay Steering Committee chaired by the CEO, Dr. Amara Okafor. The Steering Committee meets monthly and approves changes above EUR 2 m, the use of contingency and all re-baselines. The core team is organised in three delivery streams and four support functions:</w:t>
      </w:r>
    </w:p>
    <w:p>
      <w:pPr>
        <w:pStyle w:val="ListBullet"/>
      </w:pPr>
      <w:r>
        <w:rPr>
          <w:b/>
        </w:rPr>
        <w:t>Offshore construction</w:t>
      </w:r>
      <w:r>
        <w:t xml:space="preserve"> – Felix Brandt (foundations, vessels, marine coordination with Ingrid Solberg)</w:t>
      </w:r>
    </w:p>
    <w:p>
      <w:pPr>
        <w:pStyle w:val="ListBullet"/>
      </w:pPr>
      <w:r>
        <w:rPr>
          <w:b/>
        </w:rPr>
        <w:t>Electrical</w:t>
      </w:r>
      <w:r>
        <w:t xml:space="preserve"> – Mei Tanaka (cables, HB-OSS, onshore substation and the grid interface with NordGrid Transmission)</w:t>
      </w:r>
    </w:p>
    <w:p>
      <w:pPr>
        <w:pStyle w:val="ListBullet"/>
      </w:pPr>
      <w:r>
        <w:rPr>
          <w:b/>
        </w:rPr>
        <w:t>Turbines</w:t>
      </w:r>
      <w:r>
        <w:t xml:space="preserve"> – interface with Halden Turbine Systems via Lars Henriksen (Halden project manager)</w:t>
      </w:r>
    </w:p>
    <w:p>
      <w:pPr>
        <w:pStyle w:val="ListBullet"/>
      </w:pPr>
      <w:r>
        <w:rPr>
          <w:b/>
        </w:rPr>
        <w:t>Support</w:t>
      </w:r>
      <w:r>
        <w:t xml:space="preserve"> – HSE (Yusuf Demir, with Hannah Weber as HSE Manager), Environment &amp; Consents (Clara Neumann, Charlotte Dubois), Procurement (Laura Kessler), Project Controls (Gareth Lewis), Finance (Marcus Bell), Legal (Priya Nair)</w:t>
      </w:r>
    </w:p>
    <w:p>
      <w:pPr>
        <w:pStyle w:val="Heading1"/>
      </w:pPr>
      <w:r>
        <w:t>4. Contracting strategy</w:t>
      </w:r>
    </w:p>
    <w:p>
      <w:r>
        <w:t>Harrow Bay is delivered as a multi-contract project with five main packages. Weyland carries the interface risk between packages and manages it through interface registers and weekly coordination calls.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981"/>
            <w:shd w:val="clear" w:color="auto" w:fill="0B3C5D"/>
          </w:tcPr>
          <w:p>
            <w:r/>
            <w:r>
              <w:rPr>
                <w:b/>
                <w:color w:val="FFFFFF"/>
                <w:sz w:val="18"/>
              </w:rPr>
              <w:t>Package</w:t>
            </w:r>
          </w:p>
        </w:tc>
        <w:tc>
          <w:tcPr>
            <w:tcW w:type="dxa" w:w="1981"/>
            <w:shd w:val="clear" w:color="auto" w:fill="0B3C5D"/>
          </w:tcPr>
          <w:p>
            <w:r/>
            <w:r>
              <w:rPr>
                <w:b/>
                <w:color w:val="FFFFFF"/>
                <w:sz w:val="18"/>
              </w:rPr>
              <w:t>Contract</w:t>
            </w:r>
          </w:p>
        </w:tc>
        <w:tc>
          <w:tcPr>
            <w:tcW w:type="dxa" w:w="3963"/>
            <w:shd w:val="clear" w:color="auto" w:fill="0B3C5D"/>
          </w:tcPr>
          <w:p>
            <w:r/>
            <w:r>
              <w:rPr>
                <w:b/>
                <w:color w:val="FFFFFF"/>
                <w:sz w:val="18"/>
              </w:rPr>
              <w:t>Contractor</w:t>
            </w:r>
          </w:p>
        </w:tc>
        <w:tc>
          <w:tcPr>
            <w:tcW w:type="dxa" w:w="1486"/>
            <w:shd w:val="clear" w:color="auto" w:fill="0B3C5D"/>
          </w:tcPr>
          <w:p>
            <w:r/>
            <w:r>
              <w:rPr>
                <w:b/>
                <w:color w:val="FFFFFF"/>
                <w:sz w:val="18"/>
              </w:rPr>
              <w:t>Value (EUR m)</w:t>
            </w:r>
          </w:p>
        </w:tc>
      </w:tr>
      <w:tr>
        <w:tc>
          <w:tcPr>
            <w:tcW w:type="dxa" w:w="1981"/>
          </w:tcPr>
          <w:p>
            <w:r/>
            <w:r>
              <w:rPr>
                <w:sz w:val="18"/>
              </w:rPr>
              <w:t>Turbines</w:t>
            </w:r>
          </w:p>
        </w:tc>
        <w:tc>
          <w:tcPr>
            <w:tcW w:type="dxa" w:w="1981"/>
          </w:tcPr>
          <w:p>
            <w:r/>
            <w:r>
              <w:rPr>
                <w:sz w:val="18"/>
              </w:rPr>
              <w:t>WE-CON-2025-022</w:t>
            </w:r>
          </w:p>
        </w:tc>
        <w:tc>
          <w:tcPr>
            <w:tcW w:type="dxa" w:w="3963"/>
          </w:tcPr>
          <w:p>
            <w:r/>
            <w:r>
              <w:rPr>
                <w:sz w:val="18"/>
              </w:rPr>
              <w:t>Halden Turbine Systems A/S</w:t>
            </w:r>
          </w:p>
        </w:tc>
        <w:tc>
          <w:tcPr>
            <w:tcW w:type="dxa" w:w="1486"/>
          </w:tcPr>
          <w:p>
            <w:r/>
            <w:r>
              <w:rPr>
                <w:sz w:val="18"/>
              </w:rPr>
              <w:t>575.0</w:t>
            </w:r>
          </w:p>
        </w:tc>
      </w:tr>
      <w:tr>
        <w:tc>
          <w:tcPr>
            <w:tcW w:type="dxa" w:w="1981"/>
            <w:shd w:val="clear" w:color="auto" w:fill="EEF3F6"/>
          </w:tcPr>
          <w:p>
            <w:r/>
            <w:r>
              <w:rPr>
                <w:sz w:val="18"/>
              </w:rPr>
              <w:t>Monopiles &amp; TPs</w:t>
            </w:r>
          </w:p>
        </w:tc>
        <w:tc>
          <w:tcPr>
            <w:tcW w:type="dxa" w:w="1981"/>
            <w:shd w:val="clear" w:color="auto" w:fill="EEF3F6"/>
          </w:tcPr>
          <w:p>
            <w:r/>
            <w:r>
              <w:rPr>
                <w:sz w:val="18"/>
              </w:rPr>
              <w:t>WE-CON-2025-027</w:t>
            </w:r>
          </w:p>
        </w:tc>
        <w:tc>
          <w:tcPr>
            <w:tcW w:type="dxa" w:w="3963"/>
            <w:shd w:val="clear" w:color="auto" w:fill="EEF3F6"/>
          </w:tcPr>
          <w:p>
            <w:r/>
            <w:r>
              <w:rPr>
                <w:sz w:val="18"/>
              </w:rPr>
              <w:t>Rhenus Steelworks Foundations GmbH</w:t>
            </w:r>
          </w:p>
        </w:tc>
        <w:tc>
          <w:tcPr>
            <w:tcW w:type="dxa" w:w="1486"/>
            <w:shd w:val="clear" w:color="auto" w:fill="EEF3F6"/>
          </w:tcPr>
          <w:p>
            <w:r/>
            <w:r>
              <w:rPr>
                <w:sz w:val="18"/>
              </w:rPr>
              <w:t>268.0</w:t>
            </w:r>
          </w:p>
        </w:tc>
      </w:tr>
      <w:tr>
        <w:tc>
          <w:tcPr>
            <w:tcW w:type="dxa" w:w="1981"/>
          </w:tcPr>
          <w:p>
            <w:r/>
            <w:r>
              <w:rPr>
                <w:sz w:val="18"/>
              </w:rPr>
              <w:t>Export &amp; array cables</w:t>
            </w:r>
          </w:p>
        </w:tc>
        <w:tc>
          <w:tcPr>
            <w:tcW w:type="dxa" w:w="1981"/>
          </w:tcPr>
          <w:p>
            <w:r/>
            <w:r>
              <w:rPr>
                <w:sz w:val="18"/>
              </w:rPr>
              <w:t>WE-CON-2025-031</w:t>
            </w:r>
          </w:p>
        </w:tc>
        <w:tc>
          <w:tcPr>
            <w:tcW w:type="dxa" w:w="3963"/>
          </w:tcPr>
          <w:p>
            <w:r/>
            <w:r>
              <w:rPr>
                <w:sz w:val="18"/>
              </w:rPr>
              <w:t>Severn Subsea Cables Ltd</w:t>
            </w:r>
          </w:p>
        </w:tc>
        <w:tc>
          <w:tcPr>
            <w:tcW w:type="dxa" w:w="1486"/>
          </w:tcPr>
          <w:p>
            <w:r/>
            <w:r>
              <w:rPr>
                <w:sz w:val="18"/>
              </w:rPr>
              <w:t>232.0</w:t>
            </w:r>
          </w:p>
        </w:tc>
      </w:tr>
      <w:tr>
        <w:tc>
          <w:tcPr>
            <w:tcW w:type="dxa" w:w="1981"/>
            <w:shd w:val="clear" w:color="auto" w:fill="EEF3F6"/>
          </w:tcPr>
          <w:p>
            <w:r/>
            <w:r>
              <w:rPr>
                <w:sz w:val="18"/>
              </w:rPr>
              <w:t>Foundation installation vessel</w:t>
            </w:r>
          </w:p>
        </w:tc>
        <w:tc>
          <w:tcPr>
            <w:tcW w:type="dxa" w:w="1981"/>
            <w:shd w:val="clear" w:color="auto" w:fill="EEF3F6"/>
          </w:tcPr>
          <w:p>
            <w:r/>
            <w:r>
              <w:rPr>
                <w:sz w:val="18"/>
              </w:rPr>
              <w:t>WE-CON-2025-040</w:t>
            </w:r>
          </w:p>
        </w:tc>
        <w:tc>
          <w:tcPr>
            <w:tcW w:type="dxa" w:w="3963"/>
            <w:shd w:val="clear" w:color="auto" w:fill="EEF3F6"/>
          </w:tcPr>
          <w:p>
            <w:r/>
            <w:r>
              <w:rPr>
                <w:sz w:val="18"/>
              </w:rPr>
              <w:t>Atlas Marine Contractors (MV Sea Atlas)</w:t>
            </w:r>
          </w:p>
        </w:tc>
        <w:tc>
          <w:tcPr>
            <w:tcW w:type="dxa" w:w="1486"/>
            <w:shd w:val="clear" w:color="auto" w:fill="EEF3F6"/>
          </w:tcPr>
          <w:p>
            <w:r/>
            <w:r>
              <w:rPr>
                <w:sz w:val="18"/>
              </w:rPr>
              <w:t>88.0</w:t>
            </w:r>
          </w:p>
        </w:tc>
      </w:tr>
      <w:tr>
        <w:tc>
          <w:tcPr>
            <w:tcW w:type="dxa" w:w="1981"/>
          </w:tcPr>
          <w:p>
            <w:r/>
            <w:r>
              <w:rPr>
                <w:sz w:val="18"/>
              </w:rPr>
              <w:t>Offshore substation EPCI</w:t>
            </w:r>
          </w:p>
        </w:tc>
        <w:tc>
          <w:tcPr>
            <w:tcW w:type="dxa" w:w="1981"/>
          </w:tcPr>
          <w:p>
            <w:r/>
            <w:r>
              <w:rPr>
                <w:sz w:val="18"/>
              </w:rPr>
              <w:t>WE-CON-2025-035</w:t>
            </w:r>
          </w:p>
        </w:tc>
        <w:tc>
          <w:tcPr>
            <w:tcW w:type="dxa" w:w="3963"/>
          </w:tcPr>
          <w:p>
            <w:r/>
            <w:r>
              <w:rPr>
                <w:sz w:val="18"/>
              </w:rPr>
              <w:t>Norfab Offshore Structures</w:t>
            </w:r>
          </w:p>
        </w:tc>
        <w:tc>
          <w:tcPr>
            <w:tcW w:type="dxa" w:w="1486"/>
          </w:tcPr>
          <w:p>
            <w:r/>
            <w:r>
              <w:rPr>
                <w:sz w:val="18"/>
              </w:rPr>
              <w:t>196.0</w:t>
            </w:r>
          </w:p>
        </w:tc>
      </w:tr>
    </w:tbl>
    <w:p>
      <w:r>
        <w:rPr>
          <w:i/>
          <w:color w:val="4A5A68"/>
          <w:sz w:val="17"/>
        </w:rPr>
        <w:t>Original contract values at award; current values incl. change orders are in the Capex Tracker.</w:t>
      </w:r>
    </w:p>
    <w:p>
      <w:pPr>
        <w:pStyle w:val="Heading1"/>
      </w:pPr>
      <w:r>
        <w:t>5. Schedule and key milestones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21"/>
            <w:shd w:val="clear" w:color="auto" w:fill="0B3C5D"/>
          </w:tcPr>
          <w:p>
            <w:r/>
            <w:r>
              <w:rPr>
                <w:b/>
                <w:color w:val="FFFFFF"/>
                <w:sz w:val="18"/>
              </w:rPr>
              <w:t>Milestone</w:t>
            </w:r>
          </w:p>
        </w:tc>
        <w:tc>
          <w:tcPr>
            <w:tcW w:type="dxa" w:w="1569"/>
            <w:shd w:val="clear" w:color="auto" w:fill="0B3C5D"/>
          </w:tcPr>
          <w:p>
            <w:r/>
            <w:r>
              <w:rPr>
                <w:b/>
                <w:color w:val="FFFFFF"/>
                <w:sz w:val="18"/>
              </w:rPr>
              <w:t>Baseline (FID)</w:t>
            </w:r>
          </w:p>
        </w:tc>
        <w:tc>
          <w:tcPr>
            <w:tcW w:type="dxa" w:w="1569"/>
            <w:shd w:val="clear" w:color="auto" w:fill="0B3C5D"/>
          </w:tcPr>
          <w:p>
            <w:r/>
            <w:r>
              <w:rPr>
                <w:b/>
                <w:color w:val="FFFFFF"/>
                <w:sz w:val="18"/>
              </w:rPr>
              <w:t>Current forecast</w:t>
            </w:r>
          </w:p>
        </w:tc>
        <w:tc>
          <w:tcPr>
            <w:tcW w:type="dxa" w:w="2353"/>
            <w:shd w:val="clear" w:color="auto" w:fill="0B3C5D"/>
          </w:tcPr>
          <w:p>
            <w:r/>
            <w:r>
              <w:rPr>
                <w:b/>
                <w:color w:val="FFFFFF"/>
                <w:sz w:val="18"/>
              </w:rPr>
              <w:t>Status</w:t>
            </w:r>
          </w:p>
        </w:tc>
      </w:tr>
      <w:tr>
        <w:tc>
          <w:tcPr>
            <w:tcW w:type="dxa" w:w="3921"/>
          </w:tcPr>
          <w:p>
            <w:r/>
            <w:r>
              <w:rPr>
                <w:sz w:val="18"/>
              </w:rPr>
              <w:t>Development consent granted</w:t>
            </w:r>
          </w:p>
        </w:tc>
        <w:tc>
          <w:tcPr>
            <w:tcW w:type="dxa" w:w="1569"/>
          </w:tcPr>
          <w:p>
            <w:r/>
            <w:r>
              <w:rPr>
                <w:sz w:val="18"/>
              </w:rPr>
              <w:t>20 Nov 2023</w:t>
            </w:r>
          </w:p>
        </w:tc>
        <w:tc>
          <w:tcPr>
            <w:tcW w:type="dxa" w:w="1569"/>
          </w:tcPr>
          <w:p>
            <w:r/>
            <w:r>
              <w:rPr>
                <w:sz w:val="18"/>
              </w:rPr>
              <w:t>20 Nov 2023</w:t>
            </w:r>
          </w:p>
        </w:tc>
        <w:tc>
          <w:tcPr>
            <w:tcW w:type="dxa" w:w="2353"/>
          </w:tcPr>
          <w:p>
            <w:r/>
            <w:r>
              <w:rPr>
                <w:sz w:val="18"/>
              </w:rPr>
              <w:t>Achieved</w:t>
            </w:r>
          </w:p>
        </w:tc>
      </w:tr>
      <w:tr>
        <w:tc>
          <w:tcPr>
            <w:tcW w:type="dxa" w:w="3921"/>
            <w:shd w:val="clear" w:color="auto" w:fill="EEF3F6"/>
          </w:tcPr>
          <w:p>
            <w:r/>
            <w:r>
              <w:rPr>
                <w:sz w:val="18"/>
              </w:rPr>
              <w:t>Turbine supply agreement WE-CON-2025-022 signed</w:t>
            </w:r>
          </w:p>
        </w:tc>
        <w:tc>
          <w:tcPr>
            <w:tcW w:type="dxa" w:w="1569"/>
            <w:shd w:val="clear" w:color="auto" w:fill="EEF3F6"/>
          </w:tcPr>
          <w:p>
            <w:r/>
            <w:r>
              <w:rPr>
                <w:sz w:val="18"/>
              </w:rPr>
              <w:t>30 Jun 2025</w:t>
            </w:r>
          </w:p>
        </w:tc>
        <w:tc>
          <w:tcPr>
            <w:tcW w:type="dxa" w:w="1569"/>
            <w:shd w:val="clear" w:color="auto" w:fill="EEF3F6"/>
          </w:tcPr>
          <w:p>
            <w:r/>
            <w:r>
              <w:rPr>
                <w:sz w:val="18"/>
              </w:rPr>
              <w:t>30 Jun 2025</w:t>
            </w:r>
          </w:p>
        </w:tc>
        <w:tc>
          <w:tcPr>
            <w:tcW w:type="dxa" w:w="2353"/>
            <w:shd w:val="clear" w:color="auto" w:fill="EEF3F6"/>
          </w:tcPr>
          <w:p>
            <w:r/>
            <w:r>
              <w:rPr>
                <w:sz w:val="18"/>
              </w:rPr>
              <w:t>Achieved</w:t>
            </w:r>
          </w:p>
        </w:tc>
      </w:tr>
      <w:tr>
        <w:tc>
          <w:tcPr>
            <w:tcW w:type="dxa" w:w="3921"/>
          </w:tcPr>
          <w:p>
            <w:r/>
            <w:r>
              <w:rPr>
                <w:sz w:val="18"/>
              </w:rPr>
              <w:t>Final investment decision and financial close</w:t>
            </w:r>
          </w:p>
        </w:tc>
        <w:tc>
          <w:tcPr>
            <w:tcW w:type="dxa" w:w="1569"/>
          </w:tcPr>
          <w:p>
            <w:r/>
            <w:r>
              <w:rPr>
                <w:sz w:val="18"/>
              </w:rPr>
              <w:t>12 Feb 2026</w:t>
            </w:r>
          </w:p>
        </w:tc>
        <w:tc>
          <w:tcPr>
            <w:tcW w:type="dxa" w:w="1569"/>
          </w:tcPr>
          <w:p>
            <w:r/>
            <w:r>
              <w:rPr>
                <w:sz w:val="18"/>
              </w:rPr>
              <w:t>12 Feb 2026</w:t>
            </w:r>
          </w:p>
        </w:tc>
        <w:tc>
          <w:tcPr>
            <w:tcW w:type="dxa" w:w="2353"/>
          </w:tcPr>
          <w:p>
            <w:r/>
            <w:r>
              <w:rPr>
                <w:sz w:val="18"/>
              </w:rPr>
              <w:t>Achieved</w:t>
            </w:r>
          </w:p>
        </w:tc>
      </w:tr>
      <w:tr>
        <w:tc>
          <w:tcPr>
            <w:tcW w:type="dxa" w:w="3921"/>
            <w:shd w:val="clear" w:color="auto" w:fill="EEF3F6"/>
          </w:tcPr>
          <w:p>
            <w:r/>
            <w:r>
              <w:rPr>
                <w:sz w:val="18"/>
              </w:rPr>
              <w:t>Offshore construction start (first monopile)</w:t>
            </w:r>
          </w:p>
        </w:tc>
        <w:tc>
          <w:tcPr>
            <w:tcW w:type="dxa" w:w="1569"/>
            <w:shd w:val="clear" w:color="auto" w:fill="EEF3F6"/>
          </w:tcPr>
          <w:p>
            <w:r/>
            <w:r>
              <w:rPr>
                <w:sz w:val="18"/>
              </w:rPr>
              <w:t>7 Apr 2026</w:t>
            </w:r>
          </w:p>
        </w:tc>
        <w:tc>
          <w:tcPr>
            <w:tcW w:type="dxa" w:w="1569"/>
            <w:shd w:val="clear" w:color="auto" w:fill="EEF3F6"/>
          </w:tcPr>
          <w:p>
            <w:r/>
            <w:r>
              <w:rPr>
                <w:sz w:val="18"/>
              </w:rPr>
              <w:t>7 Apr 2026</w:t>
            </w:r>
          </w:p>
        </w:tc>
        <w:tc>
          <w:tcPr>
            <w:tcW w:type="dxa" w:w="2353"/>
            <w:shd w:val="clear" w:color="auto" w:fill="EEF3F6"/>
          </w:tcPr>
          <w:p>
            <w:r/>
            <w:r>
              <w:rPr>
                <w:sz w:val="18"/>
              </w:rPr>
              <w:t>Achieved</w:t>
            </w:r>
          </w:p>
        </w:tc>
      </w:tr>
      <w:tr>
        <w:tc>
          <w:tcPr>
            <w:tcW w:type="dxa" w:w="3921"/>
          </w:tcPr>
          <w:p>
            <w:r/>
            <w:r>
              <w:rPr>
                <w:sz w:val="18"/>
              </w:rPr>
              <w:t>Offshore substation topside installed</w:t>
            </w:r>
          </w:p>
        </w:tc>
        <w:tc>
          <w:tcPr>
            <w:tcW w:type="dxa" w:w="1569"/>
          </w:tcPr>
          <w:p>
            <w:r/>
            <w:r>
              <w:rPr>
                <w:sz w:val="18"/>
              </w:rPr>
              <w:t>14 Aug 2026</w:t>
            </w:r>
          </w:p>
        </w:tc>
        <w:tc>
          <w:tcPr>
            <w:tcW w:type="dxa" w:w="1569"/>
          </w:tcPr>
          <w:p>
            <w:r/>
            <w:r>
              <w:rPr>
                <w:sz w:val="18"/>
              </w:rPr>
              <w:t>19 Aug 2026</w:t>
            </w:r>
          </w:p>
        </w:tc>
        <w:tc>
          <w:tcPr>
            <w:tcW w:type="dxa" w:w="2353"/>
          </w:tcPr>
          <w:p>
            <w:r/>
            <w:r>
              <w:rPr>
                <w:sz w:val="18"/>
              </w:rPr>
              <w:t>Achieved</w:t>
            </w:r>
          </w:p>
        </w:tc>
      </w:tr>
      <w:tr>
        <w:tc>
          <w:tcPr>
            <w:tcW w:type="dxa" w:w="3921"/>
            <w:shd w:val="clear" w:color="auto" w:fill="EEF3F6"/>
          </w:tcPr>
          <w:p>
            <w:r/>
            <w:r>
              <w:rPr>
                <w:sz w:val="18"/>
              </w:rPr>
              <w:t>Last monopile installed</w:t>
            </w:r>
          </w:p>
        </w:tc>
        <w:tc>
          <w:tcPr>
            <w:tcW w:type="dxa" w:w="1569"/>
            <w:shd w:val="clear" w:color="auto" w:fill="EEF3F6"/>
          </w:tcPr>
          <w:p>
            <w:r/>
            <w:r>
              <w:rPr>
                <w:sz w:val="18"/>
              </w:rPr>
              <w:t>12 Feb 2027</w:t>
            </w:r>
          </w:p>
        </w:tc>
        <w:tc>
          <w:tcPr>
            <w:tcW w:type="dxa" w:w="1569"/>
            <w:shd w:val="clear" w:color="auto" w:fill="EEF3F6"/>
          </w:tcPr>
          <w:p>
            <w:r/>
            <w:r>
              <w:rPr>
                <w:sz w:val="18"/>
              </w:rPr>
              <w:t>26 Feb 2027</w:t>
            </w:r>
          </w:p>
        </w:tc>
        <w:tc>
          <w:tcPr>
            <w:tcW w:type="dxa" w:w="2353"/>
            <w:shd w:val="clear" w:color="auto" w:fill="EEF3F6"/>
          </w:tcPr>
          <w:p>
            <w:r/>
            <w:r>
              <w:rPr>
                <w:sz w:val="18"/>
              </w:rPr>
              <w:t>At risk</w:t>
            </w:r>
          </w:p>
        </w:tc>
      </w:tr>
      <w:tr>
        <w:tc>
          <w:tcPr>
            <w:tcW w:type="dxa" w:w="3921"/>
          </w:tcPr>
          <w:p>
            <w:r/>
            <w:r>
              <w:rPr>
                <w:sz w:val="18"/>
              </w:rPr>
              <w:t>Export cable 1 installed and tested</w:t>
            </w:r>
          </w:p>
        </w:tc>
        <w:tc>
          <w:tcPr>
            <w:tcW w:type="dxa" w:w="1569"/>
          </w:tcPr>
          <w:p>
            <w:r/>
            <w:r>
              <w:rPr>
                <w:sz w:val="18"/>
              </w:rPr>
              <w:t>30 Jun 2027</w:t>
            </w:r>
          </w:p>
        </w:tc>
        <w:tc>
          <w:tcPr>
            <w:tcW w:type="dxa" w:w="1569"/>
          </w:tcPr>
          <w:p>
            <w:r/>
            <w:r>
              <w:rPr>
                <w:sz w:val="18"/>
              </w:rPr>
              <w:t>30 Jun 2027</w:t>
            </w:r>
          </w:p>
        </w:tc>
        <w:tc>
          <w:tcPr>
            <w:tcW w:type="dxa" w:w="2353"/>
          </w:tcPr>
          <w:p>
            <w:r/>
            <w:r>
              <w:rPr>
                <w:sz w:val="18"/>
              </w:rPr>
              <w:t>On track</w:t>
            </w:r>
          </w:p>
        </w:tc>
      </w:tr>
      <w:tr>
        <w:tc>
          <w:tcPr>
            <w:tcW w:type="dxa" w:w="3921"/>
            <w:shd w:val="clear" w:color="auto" w:fill="EEF3F6"/>
          </w:tcPr>
          <w:p>
            <w:r/>
            <w:r>
              <w:rPr>
                <w:sz w:val="18"/>
              </w:rPr>
              <w:t>First turbine installed</w:t>
            </w:r>
          </w:p>
        </w:tc>
        <w:tc>
          <w:tcPr>
            <w:tcW w:type="dxa" w:w="1569"/>
            <w:shd w:val="clear" w:color="auto" w:fill="EEF3F6"/>
          </w:tcPr>
          <w:p>
            <w:r/>
            <w:r>
              <w:rPr>
                <w:sz w:val="18"/>
              </w:rPr>
              <w:t>1 Mar 2027</w:t>
            </w:r>
          </w:p>
        </w:tc>
        <w:tc>
          <w:tcPr>
            <w:tcW w:type="dxa" w:w="1569"/>
            <w:shd w:val="clear" w:color="auto" w:fill="EEF3F6"/>
          </w:tcPr>
          <w:p>
            <w:r/>
            <w:r>
              <w:rPr>
                <w:sz w:val="18"/>
              </w:rPr>
              <w:t>1 Mar 2027</w:t>
            </w:r>
          </w:p>
        </w:tc>
        <w:tc>
          <w:tcPr>
            <w:tcW w:type="dxa" w:w="2353"/>
            <w:shd w:val="clear" w:color="auto" w:fill="EEF3F6"/>
          </w:tcPr>
          <w:p>
            <w:r/>
            <w:r>
              <w:rPr>
                <w:sz w:val="18"/>
              </w:rPr>
              <w:t>On track</w:t>
            </w:r>
          </w:p>
        </w:tc>
      </w:tr>
      <w:tr>
        <w:tc>
          <w:tcPr>
            <w:tcW w:type="dxa" w:w="3921"/>
          </w:tcPr>
          <w:p>
            <w:r/>
            <w:r>
              <w:rPr>
                <w:sz w:val="18"/>
              </w:rPr>
              <w:t>First power</w:t>
            </w:r>
          </w:p>
        </w:tc>
        <w:tc>
          <w:tcPr>
            <w:tcW w:type="dxa" w:w="1569"/>
          </w:tcPr>
          <w:p>
            <w:r/>
            <w:r>
              <w:rPr>
                <w:sz w:val="18"/>
              </w:rPr>
              <w:t>30 Sep 2027</w:t>
            </w:r>
          </w:p>
        </w:tc>
        <w:tc>
          <w:tcPr>
            <w:tcW w:type="dxa" w:w="1569"/>
          </w:tcPr>
          <w:p>
            <w:r/>
            <w:r>
              <w:rPr>
                <w:sz w:val="18"/>
              </w:rPr>
              <w:t>30 Sep 2027</w:t>
            </w:r>
          </w:p>
        </w:tc>
        <w:tc>
          <w:tcPr>
            <w:tcW w:type="dxa" w:w="2353"/>
          </w:tcPr>
          <w:p>
            <w:r/>
            <w:r>
              <w:rPr>
                <w:sz w:val="18"/>
              </w:rPr>
              <w:t>On track (via export cable 1)</w:t>
            </w:r>
          </w:p>
        </w:tc>
      </w:tr>
      <w:tr>
        <w:tc>
          <w:tcPr>
            <w:tcW w:type="dxa" w:w="3921"/>
            <w:shd w:val="clear" w:color="auto" w:fill="EEF3F6"/>
          </w:tcPr>
          <w:p>
            <w:r/>
            <w:r>
              <w:rPr>
                <w:sz w:val="18"/>
              </w:rPr>
              <w:t>Export cable 2 installed and tested</w:t>
            </w:r>
          </w:p>
        </w:tc>
        <w:tc>
          <w:tcPr>
            <w:tcW w:type="dxa" w:w="1569"/>
            <w:shd w:val="clear" w:color="auto" w:fill="EEF3F6"/>
          </w:tcPr>
          <w:p>
            <w:r/>
            <w:r>
              <w:rPr>
                <w:sz w:val="18"/>
              </w:rPr>
              <w:t>31 Jul 2027</w:t>
            </w:r>
          </w:p>
        </w:tc>
        <w:tc>
          <w:tcPr>
            <w:tcW w:type="dxa" w:w="1569"/>
            <w:shd w:val="clear" w:color="auto" w:fill="EEF3F6"/>
          </w:tcPr>
          <w:p>
            <w:r/>
            <w:r>
              <w:rPr>
                <w:sz w:val="18"/>
              </w:rPr>
              <w:t>30 Sep 2027</w:t>
            </w:r>
          </w:p>
        </w:tc>
        <w:tc>
          <w:tcPr>
            <w:tcW w:type="dxa" w:w="2353"/>
            <w:shd w:val="clear" w:color="auto" w:fill="EEF3F6"/>
          </w:tcPr>
          <w:p>
            <w:r/>
            <w:r>
              <w:rPr>
                <w:sz w:val="18"/>
              </w:rPr>
              <w:t>Delayed – HB-RISK-017</w:t>
            </w:r>
          </w:p>
        </w:tc>
      </w:tr>
      <w:tr>
        <w:tc>
          <w:tcPr>
            <w:tcW w:type="dxa" w:w="3921"/>
          </w:tcPr>
          <w:p>
            <w:r/>
            <w:r>
              <w:rPr>
                <w:sz w:val="18"/>
              </w:rPr>
              <w:t>Commercial operation date (COD)</w:t>
            </w:r>
          </w:p>
        </w:tc>
        <w:tc>
          <w:tcPr>
            <w:tcW w:type="dxa" w:w="1569"/>
          </w:tcPr>
          <w:p>
            <w:r/>
            <w:r>
              <w:rPr>
                <w:sz w:val="18"/>
              </w:rPr>
              <w:t>30 Jun 2028</w:t>
            </w:r>
          </w:p>
        </w:tc>
        <w:tc>
          <w:tcPr>
            <w:tcW w:type="dxa" w:w="1569"/>
          </w:tcPr>
          <w:p>
            <w:r/>
            <w:r>
              <w:rPr>
                <w:sz w:val="18"/>
              </w:rPr>
              <w:t>30 Jun 2028</w:t>
            </w:r>
          </w:p>
        </w:tc>
        <w:tc>
          <w:tcPr>
            <w:tcW w:type="dxa" w:w="2353"/>
          </w:tcPr>
          <w:p>
            <w:r/>
            <w:r>
              <w:rPr>
                <w:sz w:val="18"/>
              </w:rPr>
              <w:t>On track</w:t>
            </w:r>
          </w:p>
        </w:tc>
      </w:tr>
    </w:tbl>
    <w:p/>
    <w:p>
      <w:pPr>
        <w:pStyle w:val="Heading1"/>
      </w:pPr>
      <w:r>
        <w:t>6. Construction approach</w:t>
      </w:r>
    </w:p>
    <w:p>
      <w:r>
        <w:t>Foundations are installed from the Port of Eastholm by the jack-up vessel MV Sea Atlas, which carries three monopiles and three transition pieces per trip. Each monopile is upended, positioned in the pile gripper and driven to target penetration with a hydraulic hammer inside a double big bubble curtain. Transition pieces are bolted to the monopile flange, followed by a bolt tensioning campaign. Piling is not permitted during the seasonal restriction from 1 to 31 July.</w:t>
      </w:r>
    </w:p>
    <w:p>
      <w:r>
        <w:t>Turbine installation starts in March 2027 with string A, so that the first 168 MW can be energised via export cable 1 and the offshore substation by 30 September 2027. Cable lay has been resequenced following the export cable 2 delay (HB-RISK-017).</w:t>
      </w:r>
    </w:p>
    <w:p>
      <w:pPr>
        <w:pStyle w:val="Heading1"/>
      </w:pPr>
      <w:r>
        <w:t>7. Health, safety and environment</w:t>
      </w:r>
    </w:p>
    <w:p>
      <w:r>
        <w:t>All work is carried out under the Weyland HSE management system (ISO 45001, ISO 14001) and the HSE bridging documents agreed with each contractor. Key controls are the Simultaneous Operations (SIMOPS) plan, the marine coordination centre at Eastholm, the dropped objects (DROPS) programme and the piling noise mitigation plan. Learning from the near miss HSE-INC-2026-018 on MV Sea Atlas has been rolled out to all vessels.</w:t>
      </w:r>
    </w:p>
    <w:p>
      <w:pPr>
        <w:pStyle w:val="Heading1"/>
      </w:pPr>
      <w:r>
        <w:t>8. Risk management</w:t>
      </w:r>
    </w:p>
    <w:p>
      <w:r>
        <w:t>Risks are managed in the project risk register (HB-RISK-001 to HB-RISK-030), reviewed bi-weekly by the project team and monthly by the Steering Committee. Risks scoring 15 or more are reported to the Executive Board. The top risks at the date of this revision are HB-RISK-017 (export cable 2 delay), HB-RISK-029 (monopile campaign into winter) and HB-RISK-030 (turbine installation vessel slot).</w:t>
      </w:r>
    </w:p>
    <w:p>
      <w:pPr>
        <w:pStyle w:val="Heading1"/>
      </w:pPr>
      <w:r>
        <w:t>9. Cost control and reporting</w:t>
      </w:r>
    </w:p>
    <w:p>
      <w:r>
        <w:t>Cost is controlled against the FID budget of EUR 1,620 m. Project Controls issues the Capex Tracker monthly, the cash-flow forecast quarterly and the lender report to Hanseatic Infrastructure Bank quarterly. The weekly construction progress report is issued every Monday.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B3C5D"/>
          </w:tcPr>
          <w:p>
            <w:r/>
            <w:r>
              <w:rPr>
                <w:b/>
                <w:color w:val="FFFFFF"/>
                <w:sz w:val="18"/>
              </w:rPr>
              <w:t>Report</w:t>
            </w:r>
          </w:p>
        </w:tc>
        <w:tc>
          <w:tcPr>
            <w:tcW w:type="dxa" w:w="2353"/>
            <w:shd w:val="clear" w:color="auto" w:fill="0B3C5D"/>
          </w:tcPr>
          <w:p>
            <w:r/>
            <w:r>
              <w:rPr>
                <w:b/>
                <w:color w:val="FFFFFF"/>
                <w:sz w:val="18"/>
              </w:rPr>
              <w:t>Frequency</w:t>
            </w:r>
          </w:p>
        </w:tc>
        <w:tc>
          <w:tcPr>
            <w:tcW w:type="dxa" w:w="2353"/>
            <w:shd w:val="clear" w:color="auto" w:fill="0B3C5D"/>
          </w:tcPr>
          <w:p>
            <w:r/>
            <w:r>
              <w:rPr>
                <w:b/>
                <w:color w:val="FFFFFF"/>
                <w:sz w:val="18"/>
              </w:rPr>
              <w:t>Owner</w:t>
            </w:r>
          </w:p>
        </w:tc>
        <w:tc>
          <w:tcPr>
            <w:tcW w:type="dxa" w:w="2353"/>
            <w:shd w:val="clear" w:color="auto" w:fill="0B3C5D"/>
          </w:tcPr>
          <w:p>
            <w:r/>
            <w:r>
              <w:rPr>
                <w:b/>
                <w:color w:val="FFFFFF"/>
                <w:sz w:val="18"/>
              </w:rPr>
              <w:t>Audience</w:t>
            </w:r>
          </w:p>
        </w:tc>
      </w:tr>
      <w:tr>
        <w:tc>
          <w:tcPr>
            <w:tcW w:type="dxa" w:w="2353"/>
          </w:tcPr>
          <w:p>
            <w:r/>
            <w:r>
              <w:rPr>
                <w:sz w:val="18"/>
              </w:rPr>
              <w:t>Weekly Construction Progress Report</w:t>
            </w:r>
          </w:p>
        </w:tc>
        <w:tc>
          <w:tcPr>
            <w:tcW w:type="dxa" w:w="2353"/>
          </w:tcPr>
          <w:p>
            <w:r/>
            <w:r>
              <w:rPr>
                <w:sz w:val="18"/>
              </w:rPr>
              <w:t>Weekly (Mon)</w:t>
            </w:r>
          </w:p>
        </w:tc>
        <w:tc>
          <w:tcPr>
            <w:tcW w:type="dxa" w:w="2353"/>
          </w:tcPr>
          <w:p>
            <w:r/>
            <w:r>
              <w:rPr>
                <w:sz w:val="18"/>
              </w:rPr>
              <w:t>Project Controls</w:t>
            </w:r>
          </w:p>
        </w:tc>
        <w:tc>
          <w:tcPr>
            <w:tcW w:type="dxa" w:w="2353"/>
          </w:tcPr>
          <w:p>
            <w:r/>
            <w:r>
              <w:rPr>
                <w:sz w:val="18"/>
              </w:rPr>
              <w:t>Project team, SteerCo, Halden, LTA</w:t>
            </w:r>
          </w:p>
        </w:tc>
      </w:tr>
      <w:tr>
        <w:tc>
          <w:tcPr>
            <w:tcW w:type="dxa" w:w="2353"/>
            <w:shd w:val="clear" w:color="auto" w:fill="EEF3F6"/>
          </w:tcPr>
          <w:p>
            <w:r/>
            <w:r>
              <w:rPr>
                <w:sz w:val="18"/>
              </w:rPr>
              <w:t>Capex Tracker</w:t>
            </w:r>
          </w:p>
        </w:tc>
        <w:tc>
          <w:tcPr>
            <w:tcW w:type="dxa" w:w="2353"/>
            <w:shd w:val="clear" w:color="auto" w:fill="EEF3F6"/>
          </w:tcPr>
          <w:p>
            <w:r/>
            <w:r>
              <w:rPr>
                <w:sz w:val="18"/>
              </w:rPr>
              <w:t>Monthly</w:t>
            </w:r>
          </w:p>
        </w:tc>
        <w:tc>
          <w:tcPr>
            <w:tcW w:type="dxa" w:w="2353"/>
            <w:shd w:val="clear" w:color="auto" w:fill="EEF3F6"/>
          </w:tcPr>
          <w:p>
            <w:r/>
            <w:r>
              <w:rPr>
                <w:sz w:val="18"/>
              </w:rPr>
              <w:t>Marcus Bell</w:t>
            </w:r>
          </w:p>
        </w:tc>
        <w:tc>
          <w:tcPr>
            <w:tcW w:type="dxa" w:w="2353"/>
            <w:shd w:val="clear" w:color="auto" w:fill="EEF3F6"/>
          </w:tcPr>
          <w:p>
            <w:r/>
            <w:r>
              <w:rPr>
                <w:sz w:val="18"/>
              </w:rPr>
              <w:t>SteerCo, Finance</w:t>
            </w:r>
          </w:p>
        </w:tc>
      </w:tr>
      <w:tr>
        <w:tc>
          <w:tcPr>
            <w:tcW w:type="dxa" w:w="2353"/>
          </w:tcPr>
          <w:p>
            <w:r/>
            <w:r>
              <w:rPr>
                <w:sz w:val="18"/>
              </w:rPr>
              <w:t>Steering Committee Pack</w:t>
            </w:r>
          </w:p>
        </w:tc>
        <w:tc>
          <w:tcPr>
            <w:tcW w:type="dxa" w:w="2353"/>
          </w:tcPr>
          <w:p>
            <w:r/>
            <w:r>
              <w:rPr>
                <w:sz w:val="18"/>
              </w:rPr>
              <w:t>Monthly</w:t>
            </w:r>
          </w:p>
        </w:tc>
        <w:tc>
          <w:tcPr>
            <w:tcW w:type="dxa" w:w="2353"/>
          </w:tcPr>
          <w:p>
            <w:r/>
            <w:r>
              <w:rPr>
                <w:sz w:val="18"/>
              </w:rPr>
              <w:t>Elena Márquez</w:t>
            </w:r>
          </w:p>
        </w:tc>
        <w:tc>
          <w:tcPr>
            <w:tcW w:type="dxa" w:w="2353"/>
          </w:tcPr>
          <w:p>
            <w:r/>
            <w:r>
              <w:rPr>
                <w:sz w:val="18"/>
              </w:rPr>
              <w:t>SteerCo</w:t>
            </w:r>
          </w:p>
        </w:tc>
      </w:tr>
      <w:tr>
        <w:tc>
          <w:tcPr>
            <w:tcW w:type="dxa" w:w="2353"/>
            <w:shd w:val="clear" w:color="auto" w:fill="EEF3F6"/>
          </w:tcPr>
          <w:p>
            <w:r/>
            <w:r>
              <w:rPr>
                <w:sz w:val="18"/>
              </w:rPr>
              <w:t>Lender Quarterly Report</w:t>
            </w:r>
          </w:p>
        </w:tc>
        <w:tc>
          <w:tcPr>
            <w:tcW w:type="dxa" w:w="2353"/>
            <w:shd w:val="clear" w:color="auto" w:fill="EEF3F6"/>
          </w:tcPr>
          <w:p>
            <w:r/>
            <w:r>
              <w:rPr>
                <w:sz w:val="18"/>
              </w:rPr>
              <w:t>Quarterly</w:t>
            </w:r>
          </w:p>
        </w:tc>
        <w:tc>
          <w:tcPr>
            <w:tcW w:type="dxa" w:w="2353"/>
            <w:shd w:val="clear" w:color="auto" w:fill="EEF3F6"/>
          </w:tcPr>
          <w:p>
            <w:r/>
            <w:r>
              <w:rPr>
                <w:sz w:val="18"/>
              </w:rPr>
              <w:t>Marcus Bell</w:t>
            </w:r>
          </w:p>
        </w:tc>
        <w:tc>
          <w:tcPr>
            <w:tcW w:type="dxa" w:w="2353"/>
            <w:shd w:val="clear" w:color="auto" w:fill="EEF3F6"/>
          </w:tcPr>
          <w:p>
            <w:r/>
            <w:r>
              <w:rPr>
                <w:sz w:val="18"/>
              </w:rPr>
              <w:t>Hanseatic Infrastructure Bank</w:t>
            </w:r>
          </w:p>
        </w:tc>
      </w:tr>
      <w:tr>
        <w:tc>
          <w:tcPr>
            <w:tcW w:type="dxa" w:w="2353"/>
          </w:tcPr>
          <w:p>
            <w:r/>
            <w:r>
              <w:rPr>
                <w:sz w:val="18"/>
              </w:rPr>
              <w:t>Environmental Monitoring Report</w:t>
            </w:r>
          </w:p>
        </w:tc>
        <w:tc>
          <w:tcPr>
            <w:tcW w:type="dxa" w:w="2353"/>
          </w:tcPr>
          <w:p>
            <w:r/>
            <w:r>
              <w:rPr>
                <w:sz w:val="18"/>
              </w:rPr>
              <w:t>Monthly</w:t>
            </w:r>
          </w:p>
        </w:tc>
        <w:tc>
          <w:tcPr>
            <w:tcW w:type="dxa" w:w="2353"/>
          </w:tcPr>
          <w:p>
            <w:r/>
            <w:r>
              <w:rPr>
                <w:sz w:val="18"/>
              </w:rPr>
              <w:t>Marlow Ecology</w:t>
            </w:r>
          </w:p>
        </w:tc>
        <w:tc>
          <w:tcPr>
            <w:tcW w:type="dxa" w:w="2353"/>
          </w:tcPr>
          <w:p>
            <w:r/>
            <w:r>
              <w:rPr>
                <w:sz w:val="18"/>
              </w:rPr>
              <w:t>Regulator, project team</w:t>
            </w:r>
          </w:p>
        </w:tc>
      </w:tr>
    </w:tbl>
    <w:p/>
    <w:p>
      <w:pPr>
        <w:pStyle w:val="Heading1"/>
      </w:pPr>
      <w:r>
        <w:t>10. Document control</w:t>
      </w:r>
    </w:p>
    <w:p>
      <w:r>
        <w:t>All project documents are stored in this space. Controlled documents carry a document number (HB-&lt;discipline&gt;-&lt;type&gt;-&lt;number&gt;) and are released through the review workflow. Contractors and our ecology consultant receive access to the folders they need via shares; nothing is sent by e-mail attachment.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Project Execution Plan  ·  HB-PM-PLN-0001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Execution Plan</dc:title>
  <dc:subject>Harrow Bay Offshore Wind – Revision 2</dc:subject>
  <dc:creator>Elena Márquez</dc:creator>
  <cp:keywords>approved</cp:keywords>
  <dc:description>generated by python-docx</dc:description>
  <cp:lastModifiedBy>Elena Márquez</cp:lastModifiedBy>
  <cp:revision>1</cp:revision>
  <dcterms:created xsi:type="dcterms:W3CDTF">2025-11-10T10:00:00Z</dcterms:created>
  <dcterms:modified xsi:type="dcterms:W3CDTF">2026-02-20T10:00:00Z</dcterms:modified>
  <cp:category/>
</cp:coreProperties>
</file>