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Monopile and Transition Piece Specification</w:t>
      </w:r>
    </w:p>
    <w:p>
      <w:r>
        <w:rPr>
          <w:color w:val="1FA2A6"/>
          <w:sz w:val="25"/>
        </w:rPr>
        <w:t>Harrow Bay Offshore Wind · Contract WE-CON-2025-027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Sofie Lindqvist  ·  22 July 2025  ·  HB-ENG-SPC-0042</w:t>
      </w:r>
    </w:p>
    <w:p>
      <w:pPr>
        <w:pStyle w:val="Heading1"/>
      </w:pPr>
      <w:r>
        <w:t>1. Scope</w:t>
      </w:r>
    </w:p>
    <w:p>
      <w:r>
        <w:t>This specification defines the technical requirements for the fabrication, coating, inspection and delivery of 40 monopiles and 40 transition pieces under contract WE-CON-2025-027 with Rhenus Steelworks Foundations GmbH. It supplements the Design Basis HB-ENG-BOD-0001 and the approved fabrication drawings.</w:t>
      </w:r>
    </w:p>
    <w:p>
      <w:pPr>
        <w:pStyle w:val="Heading1"/>
      </w:pPr>
      <w:r>
        <w:t>2. Materials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809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10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Grade</w:t>
            </w:r>
          </w:p>
        </w:tc>
        <w:tc>
          <w:tcPr>
            <w:tcW w:type="dxa" w:w="168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Standard</w:t>
            </w:r>
          </w:p>
        </w:tc>
        <w:tc>
          <w:tcPr>
            <w:tcW w:type="dxa" w:w="2809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Testing</w:t>
            </w:r>
          </w:p>
        </w:tc>
      </w:tr>
      <w:tr>
        <w:tc>
          <w:tcPr>
            <w:tcW w:type="dxa" w:w="2809"/>
          </w:tcPr>
          <w:p>
            <w:r/>
            <w:r>
              <w:rPr>
                <w:sz w:val="18"/>
              </w:rPr>
              <w:t>Monopile shell plates</w:t>
            </w:r>
          </w:p>
        </w:tc>
        <w:tc>
          <w:tcPr>
            <w:tcW w:type="dxa" w:w="2107"/>
          </w:tcPr>
          <w:p>
            <w:r/>
            <w:r>
              <w:rPr>
                <w:sz w:val="18"/>
              </w:rPr>
              <w:t>S355ML / S420ML</w:t>
            </w:r>
          </w:p>
        </w:tc>
        <w:tc>
          <w:tcPr>
            <w:tcW w:type="dxa" w:w="1686"/>
          </w:tcPr>
          <w:p>
            <w:r/>
            <w:r>
              <w:rPr>
                <w:sz w:val="18"/>
              </w:rPr>
              <w:t>EN 10225-1</w:t>
            </w:r>
          </w:p>
        </w:tc>
        <w:tc>
          <w:tcPr>
            <w:tcW w:type="dxa" w:w="2809"/>
          </w:tcPr>
          <w:p>
            <w:r/>
            <w:r>
              <w:rPr>
                <w:sz w:val="18"/>
              </w:rPr>
              <w:t>Charpy -40 °C, Z35 through thickness</w:t>
            </w:r>
          </w:p>
        </w:tc>
      </w:tr>
      <w:tr>
        <w:tc>
          <w:tcPr>
            <w:tcW w:type="dxa" w:w="2809"/>
            <w:shd w:val="clear" w:color="auto" w:fill="EEF3F6"/>
          </w:tcPr>
          <w:p>
            <w:r/>
            <w:r>
              <w:rPr>
                <w:sz w:val="18"/>
              </w:rPr>
              <w:t>Flanges (forged)</w:t>
            </w:r>
          </w:p>
        </w:tc>
        <w:tc>
          <w:tcPr>
            <w:tcW w:type="dxa" w:w="2107"/>
            <w:shd w:val="clear" w:color="auto" w:fill="EEF3F6"/>
          </w:tcPr>
          <w:p>
            <w:r/>
            <w:r>
              <w:rPr>
                <w:sz w:val="18"/>
              </w:rPr>
              <w:t>S355NL</w:t>
            </w:r>
          </w:p>
        </w:tc>
        <w:tc>
          <w:tcPr>
            <w:tcW w:type="dxa" w:w="1686"/>
            <w:shd w:val="clear" w:color="auto" w:fill="EEF3F6"/>
          </w:tcPr>
          <w:p>
            <w:r/>
            <w:r>
              <w:rPr>
                <w:sz w:val="18"/>
              </w:rPr>
              <w:t>EN 10025-3</w:t>
            </w:r>
          </w:p>
        </w:tc>
        <w:tc>
          <w:tcPr>
            <w:tcW w:type="dxa" w:w="2809"/>
            <w:shd w:val="clear" w:color="auto" w:fill="EEF3F6"/>
          </w:tcPr>
          <w:p>
            <w:r/>
            <w:r>
              <w:rPr>
                <w:sz w:val="18"/>
              </w:rPr>
              <w:t>UT 100 %, MPI</w:t>
            </w:r>
          </w:p>
        </w:tc>
      </w:tr>
      <w:tr>
        <w:tc>
          <w:tcPr>
            <w:tcW w:type="dxa" w:w="2809"/>
          </w:tcPr>
          <w:p>
            <w:r/>
            <w:r>
              <w:rPr>
                <w:sz w:val="18"/>
              </w:rPr>
              <w:t>Secondary steel</w:t>
            </w:r>
          </w:p>
        </w:tc>
        <w:tc>
          <w:tcPr>
            <w:tcW w:type="dxa" w:w="2107"/>
          </w:tcPr>
          <w:p>
            <w:r/>
            <w:r>
              <w:rPr>
                <w:sz w:val="18"/>
              </w:rPr>
              <w:t>S355J2</w:t>
            </w:r>
          </w:p>
        </w:tc>
        <w:tc>
          <w:tcPr>
            <w:tcW w:type="dxa" w:w="1686"/>
          </w:tcPr>
          <w:p>
            <w:r/>
            <w:r>
              <w:rPr>
                <w:sz w:val="18"/>
              </w:rPr>
              <w:t>EN 10025-2</w:t>
            </w:r>
          </w:p>
        </w:tc>
        <w:tc>
          <w:tcPr>
            <w:tcW w:type="dxa" w:w="2809"/>
          </w:tcPr>
          <w:p>
            <w:r/>
            <w:r>
              <w:rPr>
                <w:sz w:val="18"/>
              </w:rPr>
              <w:t>Type 3.1 cert.</w:t>
            </w:r>
          </w:p>
        </w:tc>
      </w:tr>
      <w:tr>
        <w:tc>
          <w:tcPr>
            <w:tcW w:type="dxa" w:w="2809"/>
            <w:shd w:val="clear" w:color="auto" w:fill="EEF3F6"/>
          </w:tcPr>
          <w:p>
            <w:r/>
            <w:r>
              <w:rPr>
                <w:sz w:val="18"/>
              </w:rPr>
              <w:t>Bolts M72</w:t>
            </w:r>
          </w:p>
        </w:tc>
        <w:tc>
          <w:tcPr>
            <w:tcW w:type="dxa" w:w="2107"/>
            <w:shd w:val="clear" w:color="auto" w:fill="EEF3F6"/>
          </w:tcPr>
          <w:p>
            <w:r/>
            <w:r>
              <w:rPr>
                <w:sz w:val="18"/>
              </w:rPr>
              <w:t>10.9 HDG</w:t>
            </w:r>
          </w:p>
        </w:tc>
        <w:tc>
          <w:tcPr>
            <w:tcW w:type="dxa" w:w="1686"/>
            <w:shd w:val="clear" w:color="auto" w:fill="EEF3F6"/>
          </w:tcPr>
          <w:p>
            <w:r/>
            <w:r>
              <w:rPr>
                <w:sz w:val="18"/>
              </w:rPr>
              <w:t>EN 14399-4</w:t>
            </w:r>
          </w:p>
        </w:tc>
        <w:tc>
          <w:tcPr>
            <w:tcW w:type="dxa" w:w="2809"/>
            <w:shd w:val="clear" w:color="auto" w:fill="EEF3F6"/>
          </w:tcPr>
          <w:p>
            <w:r/>
            <w:r>
              <w:rPr>
                <w:sz w:val="18"/>
              </w:rPr>
              <w:t>Lot testing, coating thickness</w:t>
            </w:r>
          </w:p>
        </w:tc>
      </w:tr>
    </w:tbl>
    <w:p/>
    <w:p>
      <w:pPr>
        <w:pStyle w:val="Heading1"/>
      </w:pPr>
      <w:r>
        <w:t>3. Geometric tolerances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Tolerance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Out-of-roundness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≤ 0.5 % of diameter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Straightness over full length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≤ 0.1 % of length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Top flange flatness (after fabrication)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≤ 1.0 mm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Top flange inclination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≤ 0.5 mm/m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Length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+ 50 / - 0 mm</w:t>
            </w:r>
          </w:p>
        </w:tc>
      </w:tr>
    </w:tbl>
    <w:p/>
    <w:p>
      <w:pPr>
        <w:pStyle w:val="Heading1"/>
      </w:pPr>
      <w:r>
        <w:t>4. Welding and NDT</w:t>
      </w:r>
    </w:p>
    <w:p>
      <w:r>
        <w:t>All circumferential and longitudinal welds are submerged arc welded per qualified WPS. NDT scope: 100 % UT (phased array) of all butt welds, 100 % MPI of attachment welds, 10 % TOFD on circumferential welds. Acceptance level per EN ISO 5817 level B. A Weyland resident inspector is present at the Duisburg yard.</w:t>
      </w:r>
    </w:p>
    <w:p>
      <w:pPr>
        <w:pStyle w:val="Heading1"/>
      </w:pPr>
      <w:r>
        <w:t>5. Coating</w:t>
      </w:r>
    </w:p>
    <w:p>
      <w:r>
        <w:t>Transition pieces: three-coat system to ISO 12944 C5-M / CX (zinc-rich epoxy, epoxy, polyurethane topcoat RAL 1023 traffic yellow above +3 m LAT). Monopiles: uncoated below -3 m LAT with cathodic protection; coated in the splash zone.</w:t>
      </w:r>
    </w:p>
    <w:p>
      <w:pPr>
        <w:pStyle w:val="Heading1"/>
      </w:pPr>
      <w:r>
        <w:t>6. Delivery</w:t>
      </w:r>
    </w:p>
    <w:p>
      <w:r>
        <w:t>Delivery ex works Duisburg by sea transport to the Port of Eastholm in batches of six. Each item is delivered with a data book (material certificates, weld maps, NDT reports, dimensional report, coating report).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Batch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Items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Required at Eastholm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HB-A01 – A06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HB-A07 – A12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2026-04-17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HB-A13 – B04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2026-05-08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HB-B05 – B10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2026-08-14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HB-B11 – C03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2026-10-09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HB-C04 – C09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2026-11-20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HB-C10 – C13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2026-12-18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Monopile and Transition Piece Specification  ·  HB-ENG-SPC-0042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Monopile and Transition Piece Specification</dc:title>
  <dc:subject>Harrow Bay Offshore Wind · Contract WE-CON-2025-027</dc:subject>
  <dc:creator>Sofie Lindqvist</dc:creator>
  <cp:keywords>approved</cp:keywords>
  <dc:description>generated by python-docx</dc:description>
  <cp:lastModifiedBy>Sofie Lindqvist</cp:lastModifiedBy>
  <cp:revision>1</cp:revision>
  <dcterms:created xsi:type="dcterms:W3CDTF">2025-07-01T10:00:00Z</dcterms:created>
  <dcterms:modified xsi:type="dcterms:W3CDTF">2025-07-22T10:00:00Z</dcterms:modified>
  <cp:category/>
</cp:coreProperties>
</file>