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Quarterly Construction Report Q3 2026</w:t>
      </w:r>
    </w:p>
    <w:p>
      <w:r>
        <w:rPr>
          <w:color w:val="1FA2A6"/>
          <w:sz w:val="25"/>
        </w:rPr>
        <w:t>Harrow Bay Offshore Wind · for Hanseatic Infrastructure Bank and the lender group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Marcus Bell  ·  30 September 2026  ·  HB-FIN-LR-2026-Q3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By 30 September 2026, 13 of 40 monopiles were installed (HB-A14 completed on 30 September, reported after period end), against 16 in the baseline. The offshore substation topside was installed on 19 August. The Steering Committee approved a recovery plan on 23 September (charter option 2, 24/7 piling). Forecast for the last monopile is 26 February 2027; first power remains 30 September 2027.</w:t>
      </w:r>
    </w:p>
    <w:p>
      <w:pPr>
        <w:pStyle w:val="Heading1"/>
      </w:pPr>
      <w:r>
        <w:t>2. Construction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Workstream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Foundations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13/40 monopiles installed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Offshore substation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Topside installed 19 Aug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Export cables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Cable 2 delayed – delivery 12 Mar 2027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Turbines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Manufacturing started in Aarhus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Onshore substation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Civil works 62 %, transformers ordered</w:t>
            </w:r>
          </w:p>
        </w:tc>
      </w:tr>
    </w:tbl>
    <w:p/>
    <w:p>
      <w:pPr>
        <w:pStyle w:val="Heading1"/>
      </w:pPr>
      <w:r>
        <w:t>3. Cost and financing</w:t>
      </w:r>
    </w:p>
    <w:p>
      <w:r>
        <w:t>Actual spend to 30 September 2026: EUR 789.9 m (48.8 % of EAC). EAC remains EUR 1,620 m; contingency remaining EUR 31.4 m. Potential recovery of liquidated damages from Severn Subsea Cables (est. EUR 4.2 m) is not included.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2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row-bay-capex-trend-e56a0f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Capex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Drawdown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Amount (EUR m)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DR-06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15 Jul 2026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48.1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DR-07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17 Aug 2026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62.9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DR-08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15 Sep 2026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57.3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Quarterly Construction Report Q3 2026  ·  HB-FIN-LR-2026-Q3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Construction Report Q3 2026</dc:title>
  <dc:subject>Harrow Bay Offshore Wind · for Hanseatic Infrastructure Bank and the lender group</dc:subject>
  <dc:creator>Marcus Bell</dc:creator>
  <cp:keywords>draft, confidential</cp:keywords>
  <dc:description>generated by python-docx</dc:description>
  <cp:lastModifiedBy>Marcus Bell</cp:lastModifiedBy>
  <cp:revision>1</cp:revision>
  <dcterms:created xsi:type="dcterms:W3CDTF">2026-09-28T10:00:00Z</dcterms:created>
  <dcterms:modified xsi:type="dcterms:W3CDTF">2026-09-30T10:00:00Z</dcterms:modified>
  <cp:category/>
</cp:coreProperties>
</file>