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Emergency Response Plan – Harrow Bay Offshore Construction</w:t>
      </w:r>
    </w:p>
    <w:p>
      <w:r>
        <w:rPr>
          <w:color w:val="1FA2A6"/>
          <w:sz w:val="25"/>
        </w:rPr>
        <w:t>Bridging ERP for Weyland and marine contractors</w:t>
      </w:r>
    </w:p>
    <w:p>
      <w:pPr>
        <w:pBdr>
          <w:bottom w:val="single" w:sz="12" w:space="6" w:color="1FA2A6"/>
        </w:pBdr>
      </w:pPr>
      <w:r>
        <w:rPr>
          <w:color w:val="4A5A68"/>
          <w:sz w:val="18"/>
        </w:rPr>
        <w:t>Hannah Weber  ·  12 June 2026  ·  HB-HSE-ERP-0001</w:t>
      </w:r>
    </w:p>
    <w:p>
      <w:pPr>
        <w:pStyle w:val="Heading1"/>
      </w:pPr>
      <w:r>
        <w:t>1. Scope</w:t>
      </w:r>
    </w:p>
    <w:p>
      <w:r>
        <w:t>This plan applies to all offshore construction activities of Harrow Bay Offshore Wind (UK North Sea, 38 km off the coast of Harrow Bay) and to the marine coordination centre at the Port of Eastholm. It bridges Weyland's emergency arrangements with those of the vessel operators (e.g. Atlas Marine Contractors for MV Sea Atlas). Vessel masters remain in command of emergencies on their vessels.</w:t>
      </w:r>
    </w:p>
    <w:p>
      <w:pPr>
        <w:pStyle w:val="Heading1"/>
      </w:pPr>
      <w:r>
        <w:t>2. Emergency organisation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Role</w:t>
            </w:r>
          </w:p>
        </w:tc>
        <w:tc>
          <w:tcPr>
            <w:tcW w:type="dxa" w:w="3137"/>
            <w:shd w:val="clear" w:color="auto" w:fill="0B3C5D"/>
          </w:tcPr>
          <w:p>
            <w:r/>
            <w:r>
              <w:rPr>
                <w:b/>
                <w:color w:val="FFFFFF"/>
                <w:sz w:val="18"/>
              </w:rPr>
              <w:t>Who</w:t>
            </w:r>
          </w:p>
        </w:tc>
        <w:tc>
          <w:tcPr>
            <w:tcW w:type="dxa" w:w="3137"/>
            <w:shd w:val="clear" w:color="auto" w:fill="0B3C5D"/>
          </w:tcPr>
          <w:p>
            <w:r/>
            <w:r>
              <w:rPr>
                <w:b/>
                <w:color w:val="FFFFFF"/>
                <w:sz w:val="18"/>
              </w:rPr>
              <w:t>Responsibility</w:t>
            </w:r>
          </w:p>
        </w:tc>
      </w:tr>
      <w:tr>
        <w:tc>
          <w:tcPr>
            <w:tcW w:type="dxa" w:w="3137"/>
          </w:tcPr>
          <w:p>
            <w:r/>
            <w:r>
              <w:rPr>
                <w:sz w:val="18"/>
              </w:rPr>
              <w:t>On-scene commander</w:t>
            </w:r>
          </w:p>
        </w:tc>
        <w:tc>
          <w:tcPr>
            <w:tcW w:type="dxa" w:w="3137"/>
          </w:tcPr>
          <w:p>
            <w:r/>
            <w:r>
              <w:rPr>
                <w:sz w:val="18"/>
              </w:rPr>
              <w:t>Vessel master</w:t>
            </w:r>
          </w:p>
        </w:tc>
        <w:tc>
          <w:tcPr>
            <w:tcW w:type="dxa" w:w="3137"/>
          </w:tcPr>
          <w:p>
            <w:r/>
            <w:r>
              <w:rPr>
                <w:sz w:val="18"/>
              </w:rPr>
              <w:t>Command on the vessel, first response, communication with the Coastguard</w:t>
            </w:r>
          </w:p>
        </w:tc>
      </w:tr>
      <w:tr>
        <w:tc>
          <w:tcPr>
            <w:tcW w:type="dxa" w:w="3137"/>
            <w:shd w:val="clear" w:color="auto" w:fill="EEF3F6"/>
          </w:tcPr>
          <w:p>
            <w:r/>
            <w:r>
              <w:rPr>
                <w:sz w:val="18"/>
              </w:rPr>
              <w:t>Marine coordinator (24/7)</w:t>
            </w:r>
          </w:p>
        </w:tc>
        <w:tc>
          <w:tcPr>
            <w:tcW w:type="dxa" w:w="3137"/>
            <w:shd w:val="clear" w:color="auto" w:fill="EEF3F6"/>
          </w:tcPr>
          <w:p>
            <w:r/>
            <w:r>
              <w:rPr>
                <w:sz w:val="18"/>
              </w:rPr>
              <w:t>Ingrid Solberg's team, Port of Eastholm</w:t>
            </w:r>
          </w:p>
        </w:tc>
        <w:tc>
          <w:tcPr>
            <w:tcW w:type="dxa" w:w="3137"/>
            <w:shd w:val="clear" w:color="auto" w:fill="EEF3F6"/>
          </w:tcPr>
          <w:p>
            <w:r/>
            <w:r>
              <w:rPr>
                <w:sz w:val="18"/>
              </w:rPr>
              <w:t>Single point of contact, vessel traffic, alerts the duty manager</w:t>
            </w:r>
          </w:p>
        </w:tc>
      </w:tr>
      <w:tr>
        <w:tc>
          <w:tcPr>
            <w:tcW w:type="dxa" w:w="3137"/>
          </w:tcPr>
          <w:p>
            <w:r/>
            <w:r>
              <w:rPr>
                <w:sz w:val="18"/>
              </w:rPr>
              <w:t>Duty manager (on call)</w:t>
            </w:r>
          </w:p>
        </w:tc>
        <w:tc>
          <w:tcPr>
            <w:tcW w:type="dxa" w:w="3137"/>
          </w:tcPr>
          <w:p>
            <w:r/>
            <w:r>
              <w:rPr>
                <w:sz w:val="18"/>
              </w:rPr>
              <w:t>Felix Brandt / rota</w:t>
            </w:r>
          </w:p>
        </w:tc>
        <w:tc>
          <w:tcPr>
            <w:tcW w:type="dxa" w:w="3137"/>
          </w:tcPr>
          <w:p>
            <w:r/>
            <w:r>
              <w:rPr>
                <w:sz w:val="18"/>
              </w:rPr>
              <w:t>Leads Weyland's emergency response team, decisions on resources</w:t>
            </w:r>
          </w:p>
        </w:tc>
      </w:tr>
      <w:tr>
        <w:tc>
          <w:tcPr>
            <w:tcW w:type="dxa" w:w="3137"/>
            <w:shd w:val="clear" w:color="auto" w:fill="EEF3F6"/>
          </w:tcPr>
          <w:p>
            <w:r/>
            <w:r>
              <w:rPr>
                <w:sz w:val="18"/>
              </w:rPr>
              <w:t>HSE on call</w:t>
            </w:r>
          </w:p>
        </w:tc>
        <w:tc>
          <w:tcPr>
            <w:tcW w:type="dxa" w:w="3137"/>
            <w:shd w:val="clear" w:color="auto" w:fill="EEF3F6"/>
          </w:tcPr>
          <w:p>
            <w:r/>
            <w:r>
              <w:rPr>
                <w:sz w:val="18"/>
              </w:rPr>
              <w:t>Yusuf Demir / Hannah Weber</w:t>
            </w:r>
          </w:p>
        </w:tc>
        <w:tc>
          <w:tcPr>
            <w:tcW w:type="dxa" w:w="3137"/>
            <w:shd w:val="clear" w:color="auto" w:fill="EEF3F6"/>
          </w:tcPr>
          <w:p>
            <w:r/>
            <w:r>
              <w:rPr>
                <w:sz w:val="18"/>
              </w:rPr>
              <w:t>HSE advice, regulator notification, investigation</w:t>
            </w:r>
          </w:p>
        </w:tc>
      </w:tr>
      <w:tr>
        <w:tc>
          <w:tcPr>
            <w:tcW w:type="dxa" w:w="3137"/>
          </w:tcPr>
          <w:p>
            <w:r/>
            <w:r>
              <w:rPr>
                <w:sz w:val="18"/>
              </w:rPr>
              <w:t>Crisis management team</w:t>
            </w:r>
          </w:p>
        </w:tc>
        <w:tc>
          <w:tcPr>
            <w:tcW w:type="dxa" w:w="3137"/>
          </w:tcPr>
          <w:p>
            <w:r/>
            <w:r>
              <w:rPr>
                <w:sz w:val="18"/>
              </w:rPr>
              <w:t>Elena Márquez, CEO, Communications</w:t>
            </w:r>
          </w:p>
        </w:tc>
        <w:tc>
          <w:tcPr>
            <w:tcW w:type="dxa" w:w="3137"/>
          </w:tcPr>
          <w:p>
            <w:r/>
            <w:r>
              <w:rPr>
                <w:sz w:val="18"/>
              </w:rPr>
              <w:t>Escalated events: fatality, major pollution, media</w:t>
            </w:r>
          </w:p>
        </w:tc>
      </w:tr>
    </w:tbl>
    <w:p/>
    <w:p>
      <w:pPr>
        <w:pStyle w:val="Heading1"/>
      </w:pPr>
      <w:r>
        <w:t>3. Scenarios and first actions</w:t>
      </w:r>
    </w:p>
    <w:tbl>
      <w:tblPr>
        <w:tblStyle w:val="TableGrid"/>
        <w:tblW w:type="auto" w:w="0"/>
        <w:jc w:val="center"/>
        <w:tblLook w:firstColumn="1" w:firstRow="1" w:lastColumn="0" w:lastRow="0" w:noHBand="0" w:noVBand="1" w:val="04A0"/>
      </w:tblPr>
      <w:tblGrid>
        <w:gridCol w:w="4706"/>
        <w:gridCol w:w="4706"/>
      </w:tblGrid>
      <w:tr>
        <w:tc>
          <w:tcPr>
            <w:tcW w:type="dxa" w:w="2353"/>
            <w:shd w:val="clear" w:color="auto" w:fill="0B3C5D"/>
          </w:tcPr>
          <w:p>
            <w:r/>
            <w:r>
              <w:rPr>
                <w:b/>
                <w:color w:val="FFFFFF"/>
                <w:sz w:val="18"/>
              </w:rPr>
              <w:t>Scenario</w:t>
            </w:r>
          </w:p>
        </w:tc>
        <w:tc>
          <w:tcPr>
            <w:tcW w:type="dxa" w:w="7058"/>
            <w:shd w:val="clear" w:color="auto" w:fill="0B3C5D"/>
          </w:tcPr>
          <w:p>
            <w:r/>
            <w:r>
              <w:rPr>
                <w:b/>
                <w:color w:val="FFFFFF"/>
                <w:sz w:val="18"/>
              </w:rPr>
              <w:t>First actions</w:t>
            </w:r>
          </w:p>
        </w:tc>
      </w:tr>
      <w:tr>
        <w:tc>
          <w:tcPr>
            <w:tcW w:type="dxa" w:w="2353"/>
          </w:tcPr>
          <w:p>
            <w:r/>
            <w:r>
              <w:rPr>
                <w:sz w:val="18"/>
              </w:rPr>
              <w:t>Person overboard</w:t>
            </w:r>
          </w:p>
        </w:tc>
        <w:tc>
          <w:tcPr>
            <w:tcW w:type="dxa" w:w="7058"/>
          </w:tcPr>
          <w:p>
            <w:r/>
            <w:r>
              <w:rPr>
                <w:sz w:val="18"/>
              </w:rPr>
              <w:t>Raise alarm, throw lifebuoy, PLB alert, launch MOB boat, Mayday via VHF 16, all vessels in field to assist</w:t>
            </w:r>
          </w:p>
        </w:tc>
      </w:tr>
      <w:tr>
        <w:tc>
          <w:tcPr>
            <w:tcW w:type="dxa" w:w="2353"/>
            <w:shd w:val="clear" w:color="auto" w:fill="EEF3F6"/>
          </w:tcPr>
          <w:p>
            <w:r/>
            <w:r>
              <w:rPr>
                <w:sz w:val="18"/>
              </w:rPr>
              <w:t>Serious injury / illness</w:t>
            </w:r>
          </w:p>
        </w:tc>
        <w:tc>
          <w:tcPr>
            <w:tcW w:type="dxa" w:w="7058"/>
            <w:shd w:val="clear" w:color="auto" w:fill="EEF3F6"/>
          </w:tcPr>
          <w:p>
            <w:r/>
            <w:r>
              <w:rPr>
                <w:sz w:val="18"/>
              </w:rPr>
              <w:t>Offshore medic, telemedical advice, medevac by Coastguard helicopter or fast CTV to Eastholm</w:t>
            </w:r>
          </w:p>
        </w:tc>
      </w:tr>
      <w:tr>
        <w:tc>
          <w:tcPr>
            <w:tcW w:type="dxa" w:w="2353"/>
          </w:tcPr>
          <w:p>
            <w:r/>
            <w:r>
              <w:rPr>
                <w:sz w:val="18"/>
              </w:rPr>
              <w:t>Rescue from height (TP, monopile, crane)</w:t>
            </w:r>
          </w:p>
        </w:tc>
        <w:tc>
          <w:tcPr>
            <w:tcW w:type="dxa" w:w="7058"/>
          </w:tcPr>
          <w:p>
            <w:r/>
            <w:r>
              <w:rPr>
                <w:sz w:val="18"/>
              </w:rPr>
              <w:t>Vessel rescue team with rescue kit, max. 15 min to casualty, lower to deck</w:t>
            </w:r>
          </w:p>
        </w:tc>
      </w:tr>
      <w:tr>
        <w:tc>
          <w:tcPr>
            <w:tcW w:type="dxa" w:w="2353"/>
            <w:shd w:val="clear" w:color="auto" w:fill="EEF3F6"/>
          </w:tcPr>
          <w:p>
            <w:r/>
            <w:r>
              <w:rPr>
                <w:sz w:val="18"/>
              </w:rPr>
              <w:t>Confined space rescue (monopile interior)</w:t>
            </w:r>
          </w:p>
        </w:tc>
        <w:tc>
          <w:tcPr>
            <w:tcW w:type="dxa" w:w="7058"/>
            <w:shd w:val="clear" w:color="auto" w:fill="EEF3F6"/>
          </w:tcPr>
          <w:p>
            <w:r/>
            <w:r>
              <w:rPr>
                <w:sz w:val="18"/>
              </w:rPr>
              <w:t>Standby person, rescue tripod, breathing apparatus team from vessel</w:t>
            </w:r>
          </w:p>
        </w:tc>
      </w:tr>
      <w:tr>
        <w:tc>
          <w:tcPr>
            <w:tcW w:type="dxa" w:w="2353"/>
          </w:tcPr>
          <w:p>
            <w:r/>
            <w:r>
              <w:rPr>
                <w:sz w:val="18"/>
              </w:rPr>
              <w:t>Fire on vessel</w:t>
            </w:r>
          </w:p>
        </w:tc>
        <w:tc>
          <w:tcPr>
            <w:tcW w:type="dxa" w:w="7058"/>
          </w:tcPr>
          <w:p>
            <w:r/>
            <w:r>
              <w:rPr>
                <w:sz w:val="18"/>
              </w:rPr>
              <w:t>Vessel fire plan, muster, inform marine coordinator</w:t>
            </w:r>
          </w:p>
        </w:tc>
      </w:tr>
      <w:tr>
        <w:tc>
          <w:tcPr>
            <w:tcW w:type="dxa" w:w="2353"/>
            <w:shd w:val="clear" w:color="auto" w:fill="EEF3F6"/>
          </w:tcPr>
          <w:p>
            <w:r/>
            <w:r>
              <w:rPr>
                <w:sz w:val="18"/>
              </w:rPr>
              <w:t>Collision / allision</w:t>
            </w:r>
          </w:p>
        </w:tc>
        <w:tc>
          <w:tcPr>
            <w:tcW w:type="dxa" w:w="7058"/>
            <w:shd w:val="clear" w:color="auto" w:fill="EEF3F6"/>
          </w:tcPr>
          <w:p>
            <w:r/>
            <w:r>
              <w:rPr>
                <w:sz w:val="18"/>
              </w:rPr>
              <w:t>Muster, damage assessment, inform Coastguard, notice to mariners</w:t>
            </w:r>
          </w:p>
        </w:tc>
      </w:tr>
      <w:tr>
        <w:tc>
          <w:tcPr>
            <w:tcW w:type="dxa" w:w="2353"/>
          </w:tcPr>
          <w:p>
            <w:r/>
            <w:r>
              <w:rPr>
                <w:sz w:val="18"/>
              </w:rPr>
              <w:t>Dropped object</w:t>
            </w:r>
          </w:p>
        </w:tc>
        <w:tc>
          <w:tcPr>
            <w:tcW w:type="dxa" w:w="7058"/>
          </w:tcPr>
          <w:p>
            <w:r/>
            <w:r>
              <w:rPr>
                <w:sz w:val="18"/>
              </w:rPr>
              <w:t>All-stop, first aid, barrier area, flash report within 24 h (see HSE-INC-2026-018)</w:t>
            </w:r>
          </w:p>
        </w:tc>
      </w:tr>
      <w:tr>
        <w:tc>
          <w:tcPr>
            <w:tcW w:type="dxa" w:w="2353"/>
            <w:shd w:val="clear" w:color="auto" w:fill="EEF3F6"/>
          </w:tcPr>
          <w:p>
            <w:r/>
            <w:r>
              <w:rPr>
                <w:sz w:val="18"/>
              </w:rPr>
              <w:t>Oil spill</w:t>
            </w:r>
          </w:p>
        </w:tc>
        <w:tc>
          <w:tcPr>
            <w:tcW w:type="dxa" w:w="7058"/>
            <w:shd w:val="clear" w:color="auto" w:fill="EEF3F6"/>
          </w:tcPr>
          <w:p>
            <w:r/>
            <w:r>
              <w:rPr>
                <w:sz w:val="18"/>
              </w:rPr>
              <w:t>SOPEP, contain on deck, inform marine regulator and Clara Neumann</w:t>
            </w:r>
          </w:p>
        </w:tc>
      </w:tr>
      <w:tr>
        <w:tc>
          <w:tcPr>
            <w:tcW w:type="dxa" w:w="2353"/>
          </w:tcPr>
          <w:p>
            <w:r/>
            <w:r>
              <w:rPr>
                <w:sz w:val="18"/>
              </w:rPr>
              <w:t>UXO found</w:t>
            </w:r>
          </w:p>
        </w:tc>
        <w:tc>
          <w:tcPr>
            <w:tcW w:type="dxa" w:w="7058"/>
          </w:tcPr>
          <w:p>
            <w:r/>
            <w:r>
              <w:rPr>
                <w:sz w:val="18"/>
              </w:rPr>
              <w:t>Stop work, 1,000 m exclusion for vessels, inform Coastguard and UXO specialist</w:t>
            </w:r>
          </w:p>
        </w:tc>
      </w:tr>
      <w:tr>
        <w:tc>
          <w:tcPr>
            <w:tcW w:type="dxa" w:w="2353"/>
            <w:shd w:val="clear" w:color="auto" w:fill="EEF3F6"/>
          </w:tcPr>
          <w:p>
            <w:r/>
            <w:r>
              <w:rPr>
                <w:sz w:val="18"/>
              </w:rPr>
              <w:t>Severe weather</w:t>
            </w:r>
          </w:p>
        </w:tc>
        <w:tc>
          <w:tcPr>
            <w:tcW w:type="dxa" w:w="7058"/>
            <w:shd w:val="clear" w:color="auto" w:fill="EEF3F6"/>
          </w:tcPr>
          <w:p>
            <w:r/>
            <w:r>
              <w:rPr>
                <w:sz w:val="18"/>
              </w:rPr>
              <w:t>Weather limits per activity, seek shelter or jack up, crew transfer suspended</w:t>
            </w:r>
          </w:p>
        </w:tc>
      </w:tr>
    </w:tbl>
    <w:p/>
    <w:p>
      <w:pPr>
        <w:pStyle w:val="Heading1"/>
      </w:pPr>
      <w:r>
        <w:t>4. Communication</w:t>
      </w:r>
    </w:p>
    <w:p>
      <w:pPr>
        <w:pStyle w:val="ListBullet"/>
      </w:pPr>
      <w:r>
        <w:t>Emergency: VHF channel 16; field working channel 72.</w:t>
      </w:r>
    </w:p>
    <w:p>
      <w:pPr>
        <w:pStyle w:val="ListBullet"/>
      </w:pPr>
      <w:r>
        <w:t>Marine coordination centre: +44 1632 960 410 (24/7).</w:t>
      </w:r>
    </w:p>
    <w:p>
      <w:pPr>
        <w:pStyle w:val="ListBullet"/>
      </w:pPr>
      <w:r>
        <w:t>Duty manager mobile: +44 7700 900 512.</w:t>
      </w:r>
    </w:p>
    <w:p>
      <w:pPr>
        <w:pStyle w:val="ListBullet"/>
      </w:pPr>
      <w:r>
        <w:t>All persons offshore carry a personal locator beacon (AIS MOB) and are tracked in the marine coordination system.</w:t>
      </w:r>
    </w:p>
    <w:p>
      <w:pPr>
        <w:pStyle w:val="Heading1"/>
      </w:pPr>
      <w:r>
        <w:t>5. Drills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Drill</w:t>
            </w:r>
          </w:p>
        </w:tc>
        <w:tc>
          <w:tcPr>
            <w:tcW w:type="dxa" w:w="3137"/>
            <w:shd w:val="clear" w:color="auto" w:fill="0B3C5D"/>
          </w:tcPr>
          <w:p>
            <w:r/>
            <w:r>
              <w:rPr>
                <w:b/>
                <w:color w:val="FFFFFF"/>
                <w:sz w:val="18"/>
              </w:rPr>
              <w:t>Frequency</w:t>
            </w:r>
          </w:p>
        </w:tc>
        <w:tc>
          <w:tcPr>
            <w:tcW w:type="dxa" w:w="3137"/>
            <w:shd w:val="clear" w:color="auto" w:fill="0B3C5D"/>
          </w:tcPr>
          <w:p>
            <w:r/>
            <w:r>
              <w:rPr>
                <w:b/>
                <w:color w:val="FFFFFF"/>
                <w:sz w:val="18"/>
              </w:rPr>
              <w:t>Last held</w:t>
            </w:r>
          </w:p>
        </w:tc>
      </w:tr>
      <w:tr>
        <w:tc>
          <w:tcPr>
            <w:tcW w:type="dxa" w:w="3137"/>
          </w:tcPr>
          <w:p>
            <w:r/>
            <w:r>
              <w:rPr>
                <w:sz w:val="18"/>
              </w:rPr>
              <w:t>Person overboard (each vessel)</w:t>
            </w:r>
          </w:p>
        </w:tc>
        <w:tc>
          <w:tcPr>
            <w:tcW w:type="dxa" w:w="3137"/>
          </w:tcPr>
          <w:p>
            <w:r/>
            <w:r>
              <w:rPr>
                <w:sz w:val="18"/>
              </w:rPr>
              <w:t>Monthly</w:t>
            </w:r>
          </w:p>
        </w:tc>
        <w:tc>
          <w:tcPr>
            <w:tcW w:type="dxa" w:w="3137"/>
          </w:tcPr>
          <w:p>
            <w:r/>
            <w:r>
              <w:rPr>
                <w:sz w:val="18"/>
              </w:rPr>
              <w:t>2026-09-16</w:t>
            </w:r>
          </w:p>
        </w:tc>
      </w:tr>
      <w:tr>
        <w:tc>
          <w:tcPr>
            <w:tcW w:type="dxa" w:w="3137"/>
            <w:shd w:val="clear" w:color="auto" w:fill="EEF3F6"/>
          </w:tcPr>
          <w:p>
            <w:r/>
            <w:r>
              <w:rPr>
                <w:sz w:val="18"/>
              </w:rPr>
              <w:t>Medevac exercise with Coastguard</w:t>
            </w:r>
          </w:p>
        </w:tc>
        <w:tc>
          <w:tcPr>
            <w:tcW w:type="dxa" w:w="3137"/>
            <w:shd w:val="clear" w:color="auto" w:fill="EEF3F6"/>
          </w:tcPr>
          <w:p>
            <w:r/>
            <w:r>
              <w:rPr>
                <w:sz w:val="18"/>
              </w:rPr>
              <w:t>Annually</w:t>
            </w:r>
          </w:p>
        </w:tc>
        <w:tc>
          <w:tcPr>
            <w:tcW w:type="dxa" w:w="3137"/>
            <w:shd w:val="clear" w:color="auto" w:fill="EEF3F6"/>
          </w:tcPr>
          <w:p>
            <w:r/>
            <w:r>
              <w:rPr>
                <w:sz w:val="18"/>
              </w:rPr>
              <w:t>2026-05-27</w:t>
            </w:r>
          </w:p>
        </w:tc>
      </w:tr>
      <w:tr>
        <w:tc>
          <w:tcPr>
            <w:tcW w:type="dxa" w:w="3137"/>
          </w:tcPr>
          <w:p>
            <w:r/>
            <w:r>
              <w:rPr>
                <w:sz w:val="18"/>
              </w:rPr>
              <w:t>Rescue from height</w:t>
            </w:r>
          </w:p>
        </w:tc>
        <w:tc>
          <w:tcPr>
            <w:tcW w:type="dxa" w:w="3137"/>
          </w:tcPr>
          <w:p>
            <w:r/>
            <w:r>
              <w:rPr>
                <w:sz w:val="18"/>
              </w:rPr>
              <w:t>Quarterly</w:t>
            </w:r>
          </w:p>
        </w:tc>
        <w:tc>
          <w:tcPr>
            <w:tcW w:type="dxa" w:w="3137"/>
          </w:tcPr>
          <w:p>
            <w:r/>
            <w:r>
              <w:rPr>
                <w:sz w:val="18"/>
              </w:rPr>
              <w:t>2026-08-05</w:t>
            </w:r>
          </w:p>
        </w:tc>
      </w:tr>
      <w:tr>
        <w:tc>
          <w:tcPr>
            <w:tcW w:type="dxa" w:w="3137"/>
            <w:shd w:val="clear" w:color="auto" w:fill="EEF3F6"/>
          </w:tcPr>
          <w:p>
            <w:r/>
            <w:r>
              <w:rPr>
                <w:sz w:val="18"/>
              </w:rPr>
              <w:t>Crisis management desktop exercise</w:t>
            </w:r>
          </w:p>
        </w:tc>
        <w:tc>
          <w:tcPr>
            <w:tcW w:type="dxa" w:w="3137"/>
            <w:shd w:val="clear" w:color="auto" w:fill="EEF3F6"/>
          </w:tcPr>
          <w:p>
            <w:r/>
            <w:r>
              <w:rPr>
                <w:sz w:val="18"/>
              </w:rPr>
              <w:t>Annually</w:t>
            </w:r>
          </w:p>
        </w:tc>
        <w:tc>
          <w:tcPr>
            <w:tcW w:type="dxa" w:w="3137"/>
            <w:shd w:val="clear" w:color="auto" w:fill="EEF3F6"/>
          </w:tcPr>
          <w:p>
            <w:r/>
            <w:r>
              <w:rPr>
                <w:sz w:val="18"/>
              </w:rPr>
              <w:t>2026-03-18</w:t>
            </w:r>
          </w:p>
        </w:tc>
      </w:tr>
    </w:tbl>
    <w:p/>
    <w:p>
      <w:pPr>
        <w:jc w:val="center"/>
      </w:pPr>
      <w:r>
        <w:drawing>
          <wp:inline xmlns:a="http://schemas.openxmlformats.org/drawingml/2006/main" xmlns:pic="http://schemas.openxmlformats.org/drawingml/2006/picture">
            <wp:extent cx="2880000" cy="4320000"/>
            <wp:docPr id="1" name="Picture 1"/>
            <wp:cNvGraphicFramePr>
              <a:graphicFrameLocks noChangeAspect="1"/>
            </wp:cNvGraphicFramePr>
            <a:graphic>
              <a:graphicData uri="http://schemas.openxmlformats.org/drawingml/2006/picture">
                <pic:pic>
                  <pic:nvPicPr>
                    <pic:cNvPr id="0" name="hse-rescue-drill.jpg"/>
                    <pic:cNvPicPr/>
                  </pic:nvPicPr>
                  <pic:blipFill>
                    <a:blip r:embed="rId11"/>
                    <a:stretch>
                      <a:fillRect/>
                    </a:stretch>
                  </pic:blipFill>
                  <pic:spPr>
                    <a:xfrm>
                      <a:off x="0" y="0"/>
                      <a:ext cx="2880000" cy="4320000"/>
                    </a:xfrm>
                    <a:prstGeom prst="rect"/>
                  </pic:spPr>
                </pic:pic>
              </a:graphicData>
            </a:graphic>
          </wp:inline>
        </w:drawing>
      </w:r>
    </w:p>
    <w:p>
      <w:pPr>
        <w:jc w:val="center"/>
      </w:pPr>
      <w:r>
        <w:rPr>
          <w:i/>
          <w:color w:val="4A5A68"/>
          <w:sz w:val="17"/>
        </w:rPr>
        <w:t>Rescue from height drill</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Emergency Response Plan – Harrow Bay Offshore Construction  ·  HB-HSE-ERP-0001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Plan – Harrow Bay Offshore Construction</dc:title>
  <dc:subject>Bridging ERP for Weyland and marine contractors</dc:subject>
  <dc:creator>Hannah Weber</dc:creator>
  <cp:keywords>approved</cp:keywords>
  <dc:description>generated by python-docx</dc:description>
  <cp:lastModifiedBy>Hannah Weber</cp:lastModifiedBy>
  <cp:revision>1</cp:revision>
  <dcterms:created xsi:type="dcterms:W3CDTF">2026-01-19T10:00:00Z</dcterms:created>
  <dcterms:modified xsi:type="dcterms:W3CDTF">2026-06-12T10:00:00Z</dcterms:modified>
  <cp:category/>
</cp:coreProperties>
</file>