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HSE Management System Manual</w:t>
      </w:r>
    </w:p>
    <w:p>
      <w:r>
        <w:rPr>
          <w:color w:val="1FA2A6"/>
          <w:sz w:val="25"/>
        </w:rPr>
        <w:t>ISO 45001 and ISO 14001 integrated management system</w:t>
      </w:r>
    </w:p>
    <w:p>
      <w:pPr>
        <w:pBdr>
          <w:bottom w:val="single" w:sz="12" w:space="6" w:color="1FA2A6"/>
        </w:pBdr>
      </w:pPr>
      <w:r>
        <w:rPr>
          <w:color w:val="4A5A68"/>
          <w:sz w:val="18"/>
        </w:rPr>
        <w:t>Hannah Weber  ·  20 November 2025  ·  HSE-MAN-0001</w:t>
      </w:r>
    </w:p>
    <w:p>
      <w:pPr>
        <w:pStyle w:val="Heading1"/>
      </w:pPr>
      <w:r>
        <w:t>1. Scope</w:t>
      </w:r>
    </w:p>
    <w:p>
      <w:r>
        <w:t xml:space="preserve">This manual describes the integrated HSE management system of Weyland Energy GmbH. It covers all activities under Weyland's control: development, construction (currently Harrow Bay Offshore Wind) and operation of 13 assets with 1,100 MW, as well as the offices in Hamburg, Edinburgh and Copenhagen. The system is certified to </w:t>
      </w:r>
      <w:r>
        <w:rPr>
          <w:b/>
        </w:rPr>
        <w:t>ISO 45001:2018</w:t>
      </w:r>
      <w:r>
        <w:t xml:space="preserve"> and </w:t>
      </w:r>
      <w:r>
        <w:rPr>
          <w:b/>
        </w:rPr>
        <w:t>ISO 14001:2015</w:t>
      </w:r>
      <w:r>
        <w:t xml:space="preserve"> (certificate holder: Weyland Energy GmbH; certification body: Baltic Certification Services GmbH; certificate valid until 30 November 2027).</w:t>
      </w:r>
    </w:p>
    <w:p>
      <w:pPr>
        <w:pStyle w:val="Heading1"/>
      </w:pPr>
      <w:r>
        <w:t>2. Context and interested parties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Interested party</w:t>
            </w:r>
          </w:p>
        </w:tc>
        <w:tc>
          <w:tcPr>
            <w:tcW w:type="dxa" w:w="4706"/>
            <w:shd w:val="clear" w:color="auto" w:fill="0B3C5D"/>
          </w:tcPr>
          <w:p>
            <w:r/>
            <w:r>
              <w:rPr>
                <w:b/>
                <w:color w:val="FFFFFF"/>
                <w:sz w:val="18"/>
              </w:rPr>
              <w:t>Needs and expectations</w:t>
            </w:r>
          </w:p>
        </w:tc>
      </w:tr>
      <w:tr>
        <w:tc>
          <w:tcPr>
            <w:tcW w:type="dxa" w:w="4706"/>
          </w:tcPr>
          <w:p>
            <w:r/>
            <w:r>
              <w:rPr>
                <w:sz w:val="18"/>
              </w:rPr>
              <w:t>Employees and works council</w:t>
            </w:r>
          </w:p>
        </w:tc>
        <w:tc>
          <w:tcPr>
            <w:tcW w:type="dxa" w:w="4706"/>
          </w:tcPr>
          <w:p>
            <w:r/>
            <w:r>
              <w:rPr>
                <w:sz w:val="18"/>
              </w:rPr>
              <w:t>Safe workplace, consultation, training, mental health support</w:t>
            </w:r>
          </w:p>
        </w:tc>
      </w:tr>
      <w:tr>
        <w:tc>
          <w:tcPr>
            <w:tcW w:type="dxa" w:w="4706"/>
            <w:shd w:val="clear" w:color="auto" w:fill="EEF3F6"/>
          </w:tcPr>
          <w:p>
            <w:r/>
            <w:r>
              <w:rPr>
                <w:sz w:val="18"/>
              </w:rPr>
              <w:t>Contractors (O&amp;M, construction, vessels)</w:t>
            </w:r>
          </w:p>
        </w:tc>
        <w:tc>
          <w:tcPr>
            <w:tcW w:type="dxa" w:w="4706"/>
            <w:shd w:val="clear" w:color="auto" w:fill="EEF3F6"/>
          </w:tcPr>
          <w:p>
            <w:r/>
            <w:r>
              <w:rPr>
                <w:sz w:val="18"/>
              </w:rPr>
              <w:t>Clear requirements, fair interfaces, shared learning</w:t>
            </w:r>
          </w:p>
        </w:tc>
      </w:tr>
      <w:tr>
        <w:tc>
          <w:tcPr>
            <w:tcW w:type="dxa" w:w="4706"/>
          </w:tcPr>
          <w:p>
            <w:r/>
            <w:r>
              <w:rPr>
                <w:sz w:val="18"/>
              </w:rPr>
              <w:t>Regulators (HSE UK, Berufsgenossenschaft, Arbejdstilsynet, marine regulators)</w:t>
            </w:r>
          </w:p>
        </w:tc>
        <w:tc>
          <w:tcPr>
            <w:tcW w:type="dxa" w:w="4706"/>
          </w:tcPr>
          <w:p>
            <w:r/>
            <w:r>
              <w:rPr>
                <w:sz w:val="18"/>
              </w:rPr>
              <w:t>Legal compliance, incident reporting</w:t>
            </w:r>
          </w:p>
        </w:tc>
      </w:tr>
      <w:tr>
        <w:tc>
          <w:tcPr>
            <w:tcW w:type="dxa" w:w="4706"/>
            <w:shd w:val="clear" w:color="auto" w:fill="EEF3F6"/>
          </w:tcPr>
          <w:p>
            <w:r/>
            <w:r>
              <w:rPr>
                <w:sz w:val="18"/>
              </w:rPr>
              <w:t>Lenders (Hanseatic Infrastructure Bank)</w:t>
            </w:r>
          </w:p>
        </w:tc>
        <w:tc>
          <w:tcPr>
            <w:tcW w:type="dxa" w:w="4706"/>
            <w:shd w:val="clear" w:color="auto" w:fill="EEF3F6"/>
          </w:tcPr>
          <w:p>
            <w:r/>
            <w:r>
              <w:rPr>
                <w:sz w:val="18"/>
              </w:rPr>
              <w:t>Compliance with Equator Principles and IFC Performance Standards on Harrow Bay</w:t>
            </w:r>
          </w:p>
        </w:tc>
      </w:tr>
      <w:tr>
        <w:tc>
          <w:tcPr>
            <w:tcW w:type="dxa" w:w="4706"/>
          </w:tcPr>
          <w:p>
            <w:r/>
            <w:r>
              <w:rPr>
                <w:sz w:val="18"/>
              </w:rPr>
              <w:t>Communities and landowners</w:t>
            </w:r>
          </w:p>
        </w:tc>
        <w:tc>
          <w:tcPr>
            <w:tcW w:type="dxa" w:w="4706"/>
          </w:tcPr>
          <w:p>
            <w:r/>
            <w:r>
              <w:rPr>
                <w:sz w:val="18"/>
              </w:rPr>
              <w:t>Safe sites, no nuisance (noise, shadow flicker, ice throw), environmental protection</w:t>
            </w:r>
          </w:p>
        </w:tc>
      </w:tr>
      <w:tr>
        <w:tc>
          <w:tcPr>
            <w:tcW w:type="dxa" w:w="4706"/>
            <w:shd w:val="clear" w:color="auto" w:fill="EEF3F6"/>
          </w:tcPr>
          <w:p>
            <w:r/>
            <w:r>
              <w:rPr>
                <w:sz w:val="18"/>
              </w:rPr>
              <w:t>Offtakers (Arcturus Steel AG)</w:t>
            </w:r>
          </w:p>
        </w:tc>
        <w:tc>
          <w:tcPr>
            <w:tcW w:type="dxa" w:w="4706"/>
            <w:shd w:val="clear" w:color="auto" w:fill="EEF3F6"/>
          </w:tcPr>
          <w:p>
            <w:r/>
            <w:r>
              <w:rPr>
                <w:sz w:val="18"/>
              </w:rPr>
              <w:t>Reliable, responsibly produced green power</w:t>
            </w:r>
          </w:p>
        </w:tc>
      </w:tr>
    </w:tbl>
    <w:p/>
    <w:p>
      <w:pPr>
        <w:pStyle w:val="Heading1"/>
      </w:pPr>
      <w:r>
        <w:t>3. Leadership and worker participation</w:t>
      </w:r>
    </w:p>
    <w:p>
      <w:r>
        <w:t>The CEO is accountable for HSE performance. HSE is the first agenda item in every Executive Board meeting, project meeting and operations review. Worker participation takes place through the HSE committees (Hamburg, Edinburgh, Harrow Bay project) that meet quarterly, and through the safety representatives at each site.</w:t>
      </w:r>
    </w:p>
    <w:p>
      <w:pPr>
        <w:pStyle w:val="Heading1"/>
      </w:pPr>
      <w:r>
        <w:t>4. Planning</w:t>
      </w:r>
    </w:p>
    <w:p>
      <w:pPr>
        <w:pStyle w:val="ListBullet"/>
      </w:pPr>
      <w:r>
        <w:rPr>
          <w:b/>
        </w:rPr>
        <w:t>Hazard identification and risk assessment</w:t>
      </w:r>
      <w:r>
        <w:t xml:space="preserve"> – task-based risk assessments using the 5×5 matrix (see Risk Assessments).</w:t>
      </w:r>
    </w:p>
    <w:p>
      <w:pPr>
        <w:pStyle w:val="ListBullet"/>
      </w:pPr>
      <w:r>
        <w:rPr>
          <w:b/>
        </w:rPr>
        <w:t>Environmental aspects</w:t>
      </w:r>
      <w:r>
        <w:t xml:space="preserve"> – aspects and impacts register reviewed annually; significant aspects include piling noise, oil spills, waste, bird and bat collisions, and SF₆ in switchgear.</w:t>
      </w:r>
    </w:p>
    <w:p>
      <w:pPr>
        <w:pStyle w:val="ListBullet"/>
      </w:pPr>
      <w:r>
        <w:rPr>
          <w:b/>
        </w:rPr>
        <w:t>Legal register</w:t>
      </w:r>
      <w:r>
        <w:t xml:space="preserve"> – maintained by HSE with Legal &amp; Contracts; compliance evaluated annually.</w:t>
      </w:r>
    </w:p>
    <w:p>
      <w:pPr>
        <w:pStyle w:val="ListBullet"/>
      </w:pPr>
      <w:r>
        <w:rPr>
          <w:b/>
        </w:rPr>
        <w:t>Objectives</w:t>
      </w:r>
      <w:r>
        <w:t xml:space="preserve"> – set annually by the Executive Board (see HSE Objectives and Targets 2026).</w:t>
      </w:r>
    </w:p>
    <w:p>
      <w:pPr>
        <w:pStyle w:val="Heading1"/>
      </w:pPr>
      <w:r>
        <w:t>5. Support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Element</w:t>
            </w:r>
          </w:p>
        </w:tc>
        <w:tc>
          <w:tcPr>
            <w:tcW w:type="dxa" w:w="4706"/>
            <w:shd w:val="clear" w:color="auto" w:fill="0B3C5D"/>
          </w:tcPr>
          <w:p>
            <w:r/>
            <w:r>
              <w:rPr>
                <w:b/>
                <w:color w:val="FFFFFF"/>
                <w:sz w:val="18"/>
              </w:rPr>
              <w:t>How we do it</w:t>
            </w:r>
          </w:p>
        </w:tc>
      </w:tr>
      <w:tr>
        <w:tc>
          <w:tcPr>
            <w:tcW w:type="dxa" w:w="4706"/>
          </w:tcPr>
          <w:p>
            <w:r/>
            <w:r>
              <w:rPr>
                <w:sz w:val="18"/>
              </w:rPr>
              <w:t>Competence</w:t>
            </w:r>
          </w:p>
        </w:tc>
        <w:tc>
          <w:tcPr>
            <w:tcW w:type="dxa" w:w="4706"/>
          </w:tcPr>
          <w:p>
            <w:r/>
            <w:r>
              <w:rPr>
                <w:sz w:val="18"/>
              </w:rPr>
              <w:t>Role-based training matrix; GWO Basic Safety Training for all staff going offshore or up turbines</w:t>
            </w:r>
          </w:p>
        </w:tc>
      </w:tr>
      <w:tr>
        <w:tc>
          <w:tcPr>
            <w:tcW w:type="dxa" w:w="4706"/>
            <w:shd w:val="clear" w:color="auto" w:fill="EEF3F6"/>
          </w:tcPr>
          <w:p>
            <w:r/>
            <w:r>
              <w:rPr>
                <w:sz w:val="18"/>
              </w:rPr>
              <w:t>Awareness</w:t>
            </w:r>
          </w:p>
        </w:tc>
        <w:tc>
          <w:tcPr>
            <w:tcW w:type="dxa" w:w="4706"/>
            <w:shd w:val="clear" w:color="auto" w:fill="EEF3F6"/>
          </w:tcPr>
          <w:p>
            <w:r/>
            <w:r>
              <w:rPr>
                <w:sz w:val="18"/>
              </w:rPr>
              <w:t>Inductions, toolbox talks, monthly safety moments, safety alerts</w:t>
            </w:r>
          </w:p>
        </w:tc>
      </w:tr>
      <w:tr>
        <w:tc>
          <w:tcPr>
            <w:tcW w:type="dxa" w:w="4706"/>
          </w:tcPr>
          <w:p>
            <w:r/>
            <w:r>
              <w:rPr>
                <w:sz w:val="18"/>
              </w:rPr>
              <w:t>Communication</w:t>
            </w:r>
          </w:p>
        </w:tc>
        <w:tc>
          <w:tcPr>
            <w:tcW w:type="dxa" w:w="4706"/>
          </w:tcPr>
          <w:p>
            <w:r/>
            <w:r>
              <w:rPr>
                <w:sz w:val="18"/>
              </w:rPr>
              <w:t>HSE space in OpenCloud, monthly HSE report, quarterly all-hands safety update</w:t>
            </w:r>
          </w:p>
        </w:tc>
      </w:tr>
      <w:tr>
        <w:tc>
          <w:tcPr>
            <w:tcW w:type="dxa" w:w="4706"/>
            <w:shd w:val="clear" w:color="auto" w:fill="EEF3F6"/>
          </w:tcPr>
          <w:p>
            <w:r/>
            <w:r>
              <w:rPr>
                <w:sz w:val="18"/>
              </w:rPr>
              <w:t>Documented information</w:t>
            </w:r>
          </w:p>
        </w:tc>
        <w:tc>
          <w:tcPr>
            <w:tcW w:type="dxa" w:w="4706"/>
            <w:shd w:val="clear" w:color="auto" w:fill="EEF3F6"/>
          </w:tcPr>
          <w:p>
            <w:r/>
            <w:r>
              <w:rPr>
                <w:sz w:val="18"/>
              </w:rPr>
              <w:t>Controlled documents in the HSE space with versioning; records retained for at least 6 years</w:t>
            </w:r>
          </w:p>
        </w:tc>
      </w:tr>
    </w:tbl>
    <w:p/>
    <w:p>
      <w:pPr>
        <w:pStyle w:val="Heading1"/>
      </w:pPr>
      <w:r>
        <w:t>6. Operation</w:t>
      </w:r>
    </w:p>
    <w:p>
      <w:pPr>
        <w:pStyle w:val="ListBullet"/>
      </w:pPr>
      <w:r>
        <w:t>Permit to work system for all high-risk work (see Permit to Work Procedure).</w:t>
      </w:r>
    </w:p>
    <w:p>
      <w:pPr>
        <w:pStyle w:val="ListBullet"/>
      </w:pPr>
      <w:r>
        <w:t>Contractor management: pre-qualification, HSE plan review, bridging documents, audits, performance reviews.</w:t>
      </w:r>
    </w:p>
    <w:p>
      <w:pPr>
        <w:pStyle w:val="ListBullet"/>
      </w:pPr>
      <w:r>
        <w:t>Management of change for organisational and technical changes with HSE impact.</w:t>
      </w:r>
    </w:p>
    <w:p>
      <w:pPr>
        <w:pStyle w:val="ListBullet"/>
      </w:pPr>
      <w:r>
        <w:t>Emergency preparedness and response plans per site with annual drills.</w:t>
      </w:r>
    </w:p>
    <w:p>
      <w:pPr>
        <w:pStyle w:val="Heading1"/>
      </w:pPr>
      <w:r>
        <w:t>7. Performance evaluation</w:t>
      </w:r>
    </w:p>
    <w:p>
      <w:r>
        <w:t>We monitor leading and lagging indicators monthly. In 2025 the LTIFR was 1.38 and the TRIR 4.13 per million hours. Internal audits follow a three-year programme covering all sites and clauses; the certification body carries out annual surveillance audits. The management review is held every January.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HSE Management System Manual  ·  HSE-MAN-0001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 Management System Manual</dc:title>
  <dc:subject>ISO 45001 and ISO 14001 integrated management system</dc:subject>
  <dc:creator>Hannah Weber</dc:creator>
  <cp:keywords>approved</cp:keywords>
  <dc:description>generated by python-docx</dc:description>
  <cp:lastModifiedBy>Hannah Weber</cp:lastModifiedBy>
  <cp:revision>1</cp:revision>
  <dcterms:created xsi:type="dcterms:W3CDTF">2023-02-10T10:00:00Z</dcterms:created>
  <dcterms:modified xsi:type="dcterms:W3CDTF">2025-11-20T10:00:00Z</dcterms:modified>
  <cp:category/>
</cp:coreProperties>
</file>