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Wind Farm – Site Overview</w:t>
      </w:r>
    </w:p>
    <w:p>
      <w:r>
        <w:rPr>
          <w:color w:val="1FA2A6"/>
          <w:sz w:val="25"/>
        </w:rPr>
        <w:t>Key facts, layout, contracts and contacts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David Chen  ·  20 March 2024  ·  KR-OPS-GEN-0001</w:t>
      </w:r>
    </w:p>
    <w:p>
      <w:pPr>
        <w:pStyle w:val="Heading1"/>
      </w:pPr>
      <w:r>
        <w:t>1. Key facts</w:t>
      </w:r>
    </w:p>
    <w:p>
      <w:r>
        <w:t>Kestrel Ridge Wind Farm entered commercial operation on 15 March 2024. 18 × 4.2 MW turbines, 75.6 MW.</w:t>
      </w:r>
    </w:p>
    <w:p>
      <w:pPr>
        <w:pStyle w:val="Heading1"/>
      </w:pPr>
      <w:r>
        <w:t>2. Contacts</w:t>
      </w:r>
    </w:p>
    <w:p>
      <w:r>
        <w:t>Site Manager: Ben Okoye. O&amp;M contractor: Highline Wind Services.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Wind Farm – Site Overview  ·  KR-OPS-GEN-0001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Wind Farm – Site Overview</dc:title>
  <dc:subject>Key facts, layout, contracts and contacts</dc:subject>
  <dc:creator>David Chen</dc:creator>
  <cp:keywords>approved</cp:keywords>
  <dc:description>generated by python-docx</dc:description>
  <cp:lastModifiedBy>David Chen</cp:lastModifiedBy>
  <cp:revision>1</cp:revision>
  <dcterms:created xsi:type="dcterms:W3CDTF">2024-03-20T10:00:00Z</dcterms:created>
  <dcterms:modified xsi:type="dcterms:W3CDTF">2024-03-20T10:00:00Z</dcterms:modified>
  <cp:category/>
</cp:coreProperties>
</file>