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Kestrel Ridge Wind Farm – Site Overview</w:t>
      </w:r>
    </w:p>
    <w:p>
      <w:r>
        <w:rPr>
          <w:color w:val="1FA2A6"/>
          <w:sz w:val="25"/>
        </w:rPr>
        <w:t>Key facts, layout, contracts and contacts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David Chen  ·  20 February 2026  ·  KR-OPS-GEN-0001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strel-ridge-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Kestrel Ridge from the south-west, October 2025</w:t>
      </w:r>
    </w:p>
    <w:p>
      <w:pPr>
        <w:pStyle w:val="Heading1"/>
      </w:pPr>
      <w:r>
        <w:t>1. 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Scottish Borders, Kestrel Ridge plateau, 420–510 m elevation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Installed capacity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75.6 MW – 18 × 4.2 MW onshore turbines (T-01 … T-18)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geometry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Hub height 95 m, rotor diameter 133 m, tip height 161.5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Commercial operation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15 March 2024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Grid connection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33 kV collector system to on-site 33/132 kV substation; connection to the NordGrid Transmission 132 kV network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Long-term energy yield (P50)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213.5 GWh per year (post-construction assessment, 2024)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Generation 2025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206.6 GWh – capacity factor 31.2 %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Availability 2025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97.4 % (contract target 97.0 %)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O&amp;M contractor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Highline Wind Services – full-service agreement WE-CON-2023-015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Asset manager / site manager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David Chen / Ben Okoye</w:t>
            </w:r>
          </w:p>
        </w:tc>
      </w:tr>
    </w:tbl>
    <w:p/>
    <w:p>
      <w:pPr>
        <w:pStyle w:val="Heading1"/>
      </w:pPr>
      <w:r>
        <w:t>2. Site and layout</w:t>
      </w:r>
    </w:p>
    <w:p>
      <w:r>
        <w:t>The wind farm sits on the Kestrel Ridge plateau at 420–510 m above sea level. The 18 turbines are arranged in two rows along the ridge line, connected by 14.2 km of gravel access tracks. Turbines T-01 to T-06 stand on Hartside Farm, T-07 to T-13 on the Craigmuir Estate and T-14 to T-18 on Low Swinton Farm. All three landowners continue to graze sheep on the site, which keeps the vegetation around the turbine bases short and supports the bird carcass searches.</w:t>
      </w:r>
    </w:p>
    <w:p>
      <w:r>
        <w:t>Site access is from the B-road at Netherhall via a locked gate (code held by the site manager and the control room). The site office and welfare unit are located next to the substation compound.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strel-ridge-subst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Kestrel Ridge substation and control building</w:t>
      </w:r>
    </w:p>
    <w:p>
      <w:pPr>
        <w:pStyle w:val="Heading1"/>
      </w:pPr>
      <w:r>
        <w:t>3. Operating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2022-05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Construction start (civil works)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2023-10-26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O&amp;M contract WE-CON-2023-015 signed with Highline Wind Services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2024-03-15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Commercial operation date (COD)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2024-06-19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Take-over certificate after 3-month reliability run (95.7 %)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2024-12-07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9 h grid outage during winter storm, no damage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First full year: 206.6 GWh, availability 97.4 %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2026-01-14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T-07 gearbox bearing failure (KR-INC-2026-003), turbine offline 23 days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2026-05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Preventive ISS bearing replacement on T-12 (found during endoscope campaign)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2026-09-25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Annual service campaign 2026 completed</w:t>
            </w:r>
          </w:p>
        </w:tc>
      </w:tr>
    </w:tbl>
    <w:p/>
    <w:p>
      <w:pPr>
        <w:pStyle w:val="Heading1"/>
      </w:pPr>
      <w:r>
        <w:t>4. Planning conditions with operational impact</w:t>
      </w:r>
    </w:p>
    <w:p>
      <w:pPr>
        <w:pStyle w:val="ListBullet"/>
      </w:pPr>
      <w:r>
        <w:rPr>
          <w:b/>
        </w:rPr>
        <w:t>Shadow flicker:</w:t>
      </w:r>
      <w:r>
        <w:t xml:space="preserve"> max. 30 hours per year and 30 minutes per day at any residential receptor – shadow flicker modules on T-03, T-04 and T-15.</w:t>
      </w:r>
    </w:p>
    <w:p>
      <w:pPr>
        <w:pStyle w:val="ListBullet"/>
      </w:pPr>
      <w:r>
        <w:rPr>
          <w:b/>
        </w:rPr>
        <w:t>Ice throw:</w:t>
      </w:r>
      <w:r>
        <w:t xml:space="preserve"> warning beacons at the three public access points, automatic ice detection and stop on all turbines.</w:t>
      </w:r>
    </w:p>
    <w:p>
      <w:pPr>
        <w:pStyle w:val="ListBullet"/>
      </w:pPr>
      <w:r>
        <w:rPr>
          <w:b/>
        </w:rPr>
        <w:t>Noise:</w:t>
      </w:r>
      <w:r>
        <w:t xml:space="preserve"> ETSU-R-97 limits; night-time noise-reduced mode on T-14 and T-16 between 23:00 and 07:00.</w:t>
      </w:r>
    </w:p>
    <w:p>
      <w:pPr>
        <w:pStyle w:val="ListBullet"/>
      </w:pPr>
      <w:r>
        <w:rPr>
          <w:b/>
        </w:rPr>
        <w:t>Ornithology:</w:t>
      </w:r>
      <w:r>
        <w:t xml:space="preserve"> post-construction bird carcass monitoring for years 1–3 (2024–2026) and annual reporting to the council.</w:t>
      </w:r>
    </w:p>
    <w:p>
      <w:pPr>
        <w:pStyle w:val="ListBullet"/>
      </w:pPr>
      <w:r>
        <w:rPr>
          <w:b/>
        </w:rPr>
        <w:t>Community benefit fund:</w:t>
      </w:r>
      <w:r>
        <w:t xml:space="preserve"> GBP 378,000 per year (GBP 5,000 per MW) for the communities around the wind farm, administered with the local community councils.</w:t>
      </w:r>
    </w:p>
    <w:p>
      <w:pPr>
        <w:pStyle w:val="ListBullet"/>
      </w:pPr>
      <w:r>
        <w:rPr>
          <w:b/>
        </w:rPr>
        <w:t>Decommissioning:</w:t>
      </w:r>
      <w:r>
        <w:t xml:space="preserve"> bond of GBP 2.9 m in place; site restoration plan to be updated in 2029.</w:t>
      </w:r>
    </w:p>
    <w:p>
      <w:pPr>
        <w:pStyle w:val="Heading1"/>
      </w:pPr>
      <w:r>
        <w:t>5. Key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Organisation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Asset Operations Manager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David Chen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Site Manager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Ben Okoye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Performance Analyst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Sara Lindgren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HSE Manager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Contract Manager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Craig Ferguson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Highline Wind Services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Site Lead Technician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Stuart Laidlaw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Highline Wind Services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Control room (24/7)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Weyland Control Centre, Edinburgh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+44 131 555 0170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In an emergency on site, call 999 first and then the control room. The site emergency response plan is in the HSE space.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Kestrel Ridge Wind Farm – Site Overview  ·  KR-OPS-GEN-0001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Ridge Wind Farm – Site Overview</dc:title>
  <dc:subject>Key facts, layout, contracts and contacts</dc:subject>
  <dc:creator>David Chen</dc:creator>
  <cp:keywords>approved</cp:keywords>
  <dc:description>generated by python-docx</dc:description>
  <cp:lastModifiedBy>David Chen</cp:lastModifiedBy>
  <cp:revision>1</cp:revision>
  <dcterms:created xsi:type="dcterms:W3CDTF">2024-03-20T10:00:00Z</dcterms:created>
  <dcterms:modified xsi:type="dcterms:W3CDTF">2026-02-20T10:00:00Z</dcterms:modified>
  <cp:category/>
</cp:coreProperties>
</file>