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Root Cause Analysis KR-INC-2026-003</w:t>
      </w:r>
    </w:p>
    <w:p>
      <w:r>
        <w:rPr>
          <w:color w:val="1FA2A6"/>
          <w:sz w:val="25"/>
        </w:rPr>
        <w:t>T-07 gearbox – ISS bearing failure</w:t>
      </w:r>
    </w:p>
    <w:p>
      <w:pPr>
        <w:pBdr>
          <w:bottom w:val="single" w:sz="12" w:space="6" w:color="1FA2A6"/>
        </w:pBdr>
      </w:pPr>
      <w:r>
        <w:rPr>
          <w:color w:val="4A5A68"/>
          <w:sz w:val="18"/>
        </w:rPr>
        <w:t>David Chen  ·  12 March 2026  ·  KR-INC-2026-003-RCA</w:t>
      </w:r>
    </w:p>
    <w:p>
      <w:pPr>
        <w:pStyle w:val="Heading1"/>
      </w:pPr>
      <w:r>
        <w:t>1. Summary</w:t>
      </w:r>
    </w:p>
    <w:p>
      <w:r>
        <w:t xml:space="preserve">On 14 January 2026 the rotor-side bearing of the intermediate-speed shaft (ISS) in the T-07 gearbox failed. The teardown at Weserkraft Getriebe GmbH in Bremen (26 February 2026, witnessed by Ben Okoye and Craig Ferguson) found axial cracks with </w:t>
      </w:r>
      <w:r>
        <w:rPr>
          <w:b/>
        </w:rPr>
        <w:t>white etching cracks (WEC)</w:t>
      </w:r>
      <w:r>
        <w:t xml:space="preserve"> in the inner ring, followed by spalling across about 40 % of the raceway. The failure is a known damage mechanism in wind turbine gearboxes. It is associated with transient loads, slip of rolling elements and lubricant chemistry, and it typically shows up long before the bearing's calculated L10 life.</w:t>
      </w:r>
    </w:p>
    <w:p>
      <w:r>
        <w:rPr>
          <w:b/>
        </w:rPr>
        <w:t>Root cause:</w:t>
      </w:r>
      <w:r>
        <w:t xml:space="preserve"> WEC-initiated rolling contact fatigue in the ISS bearing inner ring. </w:t>
      </w:r>
      <w:r>
        <w:rPr>
          <w:b/>
        </w:rPr>
        <w:t>Contributing factors:</w:t>
      </w:r>
      <w:r>
        <w:t xml:space="preserve"> (a) a high number of emergency stops and grid-loss events on T-07 in winter 2024/25, (b) CMS alarm thresholds set at generic OEM values that did not trigger, (c) a 'watch' oil result in November 2025 that was not escalated.</w:t>
      </w:r>
    </w:p>
    <w:p>
      <w:pPr>
        <w:pStyle w:val="Heading1"/>
      </w:pPr>
      <w:r>
        <w:t>2. Evidence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Evidence</w:t>
            </w:r>
          </w:p>
        </w:tc>
        <w:tc>
          <w:tcPr>
            <w:tcW w:type="dxa" w:w="4706"/>
            <w:shd w:val="clear" w:color="auto" w:fill="0B3C5D"/>
          </w:tcPr>
          <w:p>
            <w:r/>
            <w:r>
              <w:rPr>
                <w:b/>
                <w:color w:val="FFFFFF"/>
                <w:sz w:val="18"/>
              </w:rPr>
              <w:t>Finding</w:t>
            </w:r>
          </w:p>
        </w:tc>
      </w:tr>
      <w:tr>
        <w:tc>
          <w:tcPr>
            <w:tcW w:type="dxa" w:w="4706"/>
          </w:tcPr>
          <w:p>
            <w:r/>
            <w:r>
              <w:rPr>
                <w:sz w:val="18"/>
              </w:rPr>
              <w:t>SCADA 10-minute data</w:t>
            </w:r>
          </w:p>
        </w:tc>
        <w:tc>
          <w:tcPr>
            <w:tcW w:type="dxa" w:w="4706"/>
          </w:tcPr>
          <w:p>
            <w:r/>
            <w:r>
              <w:rPr>
                <w:sz w:val="18"/>
              </w:rPr>
              <w:t>Temperature rise from 71 °C to 97 °C within 62 minutes before the trip; no prior temperature alarms</w:t>
            </w:r>
          </w:p>
        </w:tc>
      </w:tr>
      <w:tr>
        <w:tc>
          <w:tcPr>
            <w:tcW w:type="dxa" w:w="4706"/>
            <w:shd w:val="clear" w:color="auto" w:fill="EEF3F6"/>
          </w:tcPr>
          <w:p>
            <w:r/>
            <w:r>
              <w:rPr>
                <w:sz w:val="18"/>
              </w:rPr>
              <w:t>CMS (vibration)</w:t>
            </w:r>
          </w:p>
        </w:tc>
        <w:tc>
          <w:tcPr>
            <w:tcW w:type="dxa" w:w="4706"/>
            <w:shd w:val="clear" w:color="auto" w:fill="EEF3F6"/>
          </w:tcPr>
          <w:p>
            <w:r/>
            <w:r>
              <w:rPr>
                <w:sz w:val="18"/>
              </w:rPr>
              <w:t>Kurtosis of ISS envelope rising from 3.1 (mid-Nov) to 4.3 (13 Jan); alarm threshold was 4.5</w:t>
            </w:r>
          </w:p>
        </w:tc>
      </w:tr>
      <w:tr>
        <w:tc>
          <w:tcPr>
            <w:tcW w:type="dxa" w:w="4706"/>
          </w:tcPr>
          <w:p>
            <w:r/>
            <w:r>
              <w:rPr>
                <w:sz w:val="18"/>
              </w:rPr>
              <w:t>Oil analysis</w:t>
            </w:r>
          </w:p>
        </w:tc>
        <w:tc>
          <w:tcPr>
            <w:tcW w:type="dxa" w:w="4706"/>
          </w:tcPr>
          <w:p>
            <w:r/>
            <w:r>
              <w:rPr>
                <w:sz w:val="18"/>
              </w:rPr>
              <w:t>Fe 14 ppm (May 2025) → 38 ppm (Nov 2025, 'watch') → 212 ppm (post-failure)</w:t>
            </w:r>
          </w:p>
        </w:tc>
      </w:tr>
      <w:tr>
        <w:tc>
          <w:tcPr>
            <w:tcW w:type="dxa" w:w="4706"/>
            <w:shd w:val="clear" w:color="auto" w:fill="EEF3F6"/>
          </w:tcPr>
          <w:p>
            <w:r/>
            <w:r>
              <w:rPr>
                <w:sz w:val="18"/>
              </w:rPr>
              <w:t>Event log</w:t>
            </w:r>
          </w:p>
        </w:tc>
        <w:tc>
          <w:tcPr>
            <w:tcW w:type="dxa" w:w="4706"/>
            <w:shd w:val="clear" w:color="auto" w:fill="EEF3F6"/>
          </w:tcPr>
          <w:p>
            <w:r/>
            <w:r>
              <w:rPr>
                <w:sz w:val="18"/>
              </w:rPr>
              <w:t>T-07: 31 emergency stops in 2025 (fleet average 17), of which 12 grid-loss related</w:t>
            </w:r>
          </w:p>
        </w:tc>
      </w:tr>
      <w:tr>
        <w:tc>
          <w:tcPr>
            <w:tcW w:type="dxa" w:w="4706"/>
          </w:tcPr>
          <w:p>
            <w:r/>
            <w:r>
              <w:rPr>
                <w:sz w:val="18"/>
              </w:rPr>
              <w:t>Teardown report</w:t>
            </w:r>
          </w:p>
        </w:tc>
        <w:tc>
          <w:tcPr>
            <w:tcW w:type="dxa" w:w="4706"/>
          </w:tcPr>
          <w:p>
            <w:r/>
            <w:r>
              <w:rPr>
                <w:sz w:val="18"/>
              </w:rPr>
              <w:t>WEC networks in subsurface at 0.2–0.6 mm depth, axial cracks, no lubrication starvation, no assembly defects</w:t>
            </w:r>
          </w:p>
        </w:tc>
      </w:tr>
      <w:tr>
        <w:tc>
          <w:tcPr>
            <w:tcW w:type="dxa" w:w="4706"/>
            <w:shd w:val="clear" w:color="auto" w:fill="EEF3F6"/>
          </w:tcPr>
          <w:p>
            <w:r/>
            <w:r>
              <w:rPr>
                <w:sz w:val="18"/>
              </w:rPr>
              <w:t>Material analysis</w:t>
            </w:r>
          </w:p>
        </w:tc>
        <w:tc>
          <w:tcPr>
            <w:tcW w:type="dxa" w:w="4706"/>
            <w:shd w:val="clear" w:color="auto" w:fill="EEF3F6"/>
          </w:tcPr>
          <w:p>
            <w:r/>
            <w:r>
              <w:rPr>
                <w:sz w:val="18"/>
              </w:rPr>
              <w:t>Bearing steel within specification; hardness 60–61 HRC; no inclusions above limit</w:t>
            </w:r>
          </w:p>
        </w:tc>
      </w:tr>
    </w:tbl>
    <w:p/>
    <w:p>
      <w:pPr>
        <w:jc w:val="center"/>
      </w:pPr>
      <w:r>
        <w:drawing>
          <wp:inline xmlns:a="http://schemas.openxmlformats.org/drawingml/2006/main" xmlns:pic="http://schemas.openxmlformats.org/drawingml/2006/picture">
            <wp:extent cx="4320000" cy="3240000"/>
            <wp:docPr id="1" name="Picture 1"/>
            <wp:cNvGraphicFramePr>
              <a:graphicFrameLocks noChangeAspect="1"/>
            </wp:cNvGraphicFramePr>
            <a:graphic>
              <a:graphicData uri="http://schemas.openxmlformats.org/drawingml/2006/picture">
                <pic:pic>
                  <pic:nvPicPr>
                    <pic:cNvPr id="0" name="kestrel-ridge-bearing-damage.jpg"/>
                    <pic:cNvPicPr/>
                  </pic:nvPicPr>
                  <pic:blipFill>
                    <a:blip r:embed="rId11"/>
                    <a:stretch>
                      <a:fillRect/>
                    </a:stretch>
                  </pic:blipFill>
                  <pic:spPr>
                    <a:xfrm>
                      <a:off x="0" y="0"/>
                      <a:ext cx="4320000" cy="3240000"/>
                    </a:xfrm>
                    <a:prstGeom prst="rect"/>
                  </pic:spPr>
                </pic:pic>
              </a:graphicData>
            </a:graphic>
          </wp:inline>
        </w:drawing>
      </w:r>
    </w:p>
    <w:p>
      <w:pPr>
        <w:jc w:val="center"/>
      </w:pPr>
      <w:r>
        <w:rPr>
          <w:i/>
          <w:color w:val="4A5A68"/>
          <w:sz w:val="17"/>
        </w:rPr>
        <w:t>ISS bearing inner ring with spalling and axial cracks</w:t>
      </w:r>
    </w:p>
    <w:p>
      <w:pPr>
        <w:pStyle w:val="Heading1"/>
      </w:pPr>
      <w:r>
        <w:t>3. Five whys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Why?</w:t>
            </w:r>
          </w:p>
        </w:tc>
        <w:tc>
          <w:tcPr>
            <w:tcW w:type="dxa" w:w="4706"/>
            <w:shd w:val="clear" w:color="auto" w:fill="0B3C5D"/>
          </w:tcPr>
          <w:p>
            <w:r/>
            <w:r>
              <w:rPr>
                <w:b/>
                <w:color w:val="FFFFFF"/>
                <w:sz w:val="18"/>
              </w:rPr>
              <w:t>Answer</w:t>
            </w:r>
          </w:p>
        </w:tc>
      </w:tr>
      <w:tr>
        <w:tc>
          <w:tcPr>
            <w:tcW w:type="dxa" w:w="4706"/>
          </w:tcPr>
          <w:p>
            <w:r/>
            <w:r>
              <w:rPr>
                <w:sz w:val="18"/>
              </w:rPr>
              <w:t>Why did T-07 stop?</w:t>
            </w:r>
          </w:p>
        </w:tc>
        <w:tc>
          <w:tcPr>
            <w:tcW w:type="dxa" w:w="4706"/>
          </w:tcPr>
          <w:p>
            <w:r/>
            <w:r>
              <w:rPr>
                <w:sz w:val="18"/>
              </w:rPr>
              <w:t>Trip on high ISS bearing temperature.</w:t>
            </w:r>
          </w:p>
        </w:tc>
      </w:tr>
      <w:tr>
        <w:tc>
          <w:tcPr>
            <w:tcW w:type="dxa" w:w="4706"/>
            <w:shd w:val="clear" w:color="auto" w:fill="EEF3F6"/>
          </w:tcPr>
          <w:p>
            <w:r/>
            <w:r>
              <w:rPr>
                <w:sz w:val="18"/>
              </w:rPr>
              <w:t>Why did the temperature rise?</w:t>
            </w:r>
          </w:p>
        </w:tc>
        <w:tc>
          <w:tcPr>
            <w:tcW w:type="dxa" w:w="4706"/>
            <w:shd w:val="clear" w:color="auto" w:fill="EEF3F6"/>
          </w:tcPr>
          <w:p>
            <w:r/>
            <w:r>
              <w:rPr>
                <w:sz w:val="18"/>
              </w:rPr>
              <w:t>The inner ring raceway was spalled, causing friction and debris in the bearing.</w:t>
            </w:r>
          </w:p>
        </w:tc>
      </w:tr>
      <w:tr>
        <w:tc>
          <w:tcPr>
            <w:tcW w:type="dxa" w:w="4706"/>
          </w:tcPr>
          <w:p>
            <w:r/>
            <w:r>
              <w:rPr>
                <w:sz w:val="18"/>
              </w:rPr>
              <w:t>Why was the raceway spalled?</w:t>
            </w:r>
          </w:p>
        </w:tc>
        <w:tc>
          <w:tcPr>
            <w:tcW w:type="dxa" w:w="4706"/>
          </w:tcPr>
          <w:p>
            <w:r/>
            <w:r>
              <w:rPr>
                <w:sz w:val="18"/>
              </w:rPr>
              <w:t>Axial cracks from white etching areas grew to the surface (WEC).</w:t>
            </w:r>
          </w:p>
        </w:tc>
      </w:tr>
      <w:tr>
        <w:tc>
          <w:tcPr>
            <w:tcW w:type="dxa" w:w="4706"/>
            <w:shd w:val="clear" w:color="auto" w:fill="EEF3F6"/>
          </w:tcPr>
          <w:p>
            <w:r/>
            <w:r>
              <w:rPr>
                <w:sz w:val="18"/>
              </w:rPr>
              <w:t>Why did WEC develop?</w:t>
            </w:r>
          </w:p>
        </w:tc>
        <w:tc>
          <w:tcPr>
            <w:tcW w:type="dxa" w:w="4706"/>
            <w:shd w:val="clear" w:color="auto" w:fill="EEF3F6"/>
          </w:tcPr>
          <w:p>
            <w:r/>
            <w:r>
              <w:rPr>
                <w:sz w:val="18"/>
              </w:rPr>
              <w:t>Combination of transient loads (emergency stops, grid loss) and roller slip under low load; known susceptibility of the bearing type.</w:t>
            </w:r>
          </w:p>
        </w:tc>
      </w:tr>
      <w:tr>
        <w:tc>
          <w:tcPr>
            <w:tcW w:type="dxa" w:w="4706"/>
          </w:tcPr>
          <w:p>
            <w:r/>
            <w:r>
              <w:rPr>
                <w:sz w:val="18"/>
              </w:rPr>
              <w:t>Why was it not detected earlier?</w:t>
            </w:r>
          </w:p>
        </w:tc>
        <w:tc>
          <w:tcPr>
            <w:tcW w:type="dxa" w:w="4706"/>
          </w:tcPr>
          <w:p>
            <w:r/>
            <w:r>
              <w:rPr>
                <w:sz w:val="18"/>
              </w:rPr>
              <w:t>CMS thresholds too high for this failure mode and no escalation rule for 'watch' oil results.</w:t>
            </w:r>
          </w:p>
        </w:tc>
      </w:tr>
    </w:tbl>
    <w:p/>
    <w:p>
      <w:pPr>
        <w:pStyle w:val="Heading1"/>
      </w:pPr>
      <w:r>
        <w:t>4. Corrective and preventive actions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Action</w:t>
            </w:r>
          </w:p>
        </w:tc>
        <w:tc>
          <w:tcPr>
            <w:tcW w:type="dxa" w:w="1882"/>
            <w:shd w:val="clear" w:color="auto" w:fill="0B3C5D"/>
          </w:tcPr>
          <w:p>
            <w:r/>
            <w:r>
              <w:rPr>
                <w:b/>
                <w:color w:val="FFFFFF"/>
                <w:sz w:val="18"/>
              </w:rPr>
              <w:t>Owner</w:t>
            </w:r>
          </w:p>
        </w:tc>
        <w:tc>
          <w:tcPr>
            <w:tcW w:type="dxa" w:w="1882"/>
            <w:shd w:val="clear" w:color="auto" w:fill="0B3C5D"/>
          </w:tcPr>
          <w:p>
            <w:r/>
            <w:r>
              <w:rPr>
                <w:b/>
                <w:color w:val="FFFFFF"/>
                <w:sz w:val="18"/>
              </w:rPr>
              <w:t>Due</w:t>
            </w:r>
          </w:p>
        </w:tc>
        <w:tc>
          <w:tcPr>
            <w:tcW w:type="dxa" w:w="1882"/>
            <w:shd w:val="clear" w:color="auto" w:fill="0B3C5D"/>
          </w:tcPr>
          <w:p>
            <w:r/>
            <w:r>
              <w:rPr>
                <w:b/>
                <w:color w:val="FFFFFF"/>
                <w:sz w:val="18"/>
              </w:rPr>
              <w:t>Status (Oct 2026)</w:t>
            </w:r>
          </w:p>
        </w:tc>
      </w:tr>
      <w:tr>
        <w:tc>
          <w:tcPr>
            <w:tcW w:type="dxa" w:w="1882"/>
          </w:tcPr>
          <w:p>
            <w:r/>
            <w:r>
              <w:rPr>
                <w:sz w:val="18"/>
              </w:rPr>
              <w:t>1</w:t>
            </w:r>
          </w:p>
        </w:tc>
        <w:tc>
          <w:tcPr>
            <w:tcW w:type="dxa" w:w="1882"/>
          </w:tcPr>
          <w:p>
            <w:r/>
            <w:r>
              <w:rPr>
                <w:sz w:val="18"/>
              </w:rPr>
              <w:t>Fleet endoscope inspection of all ISS/HSS bearings</w:t>
            </w:r>
          </w:p>
        </w:tc>
        <w:tc>
          <w:tcPr>
            <w:tcW w:type="dxa" w:w="1882"/>
          </w:tcPr>
          <w:p>
            <w:r/>
            <w:r>
              <w:rPr>
                <w:sz w:val="18"/>
              </w:rPr>
              <w:t>Highline / Ben Okoye</w:t>
            </w:r>
          </w:p>
        </w:tc>
        <w:tc>
          <w:tcPr>
            <w:tcW w:type="dxa" w:w="1882"/>
          </w:tcPr>
          <w:p>
            <w:r/>
            <w:r>
              <w:rPr>
                <w:sz w:val="18"/>
              </w:rPr>
              <w:t>2026-03-31</w:t>
            </w:r>
          </w:p>
        </w:tc>
        <w:tc>
          <w:tcPr>
            <w:tcW w:type="dxa" w:w="1882"/>
          </w:tcPr>
          <w:p>
            <w:r/>
            <w:r>
              <w:rPr>
                <w:sz w:val="18"/>
              </w:rPr>
              <w:t>Done – T-12 finding</w:t>
            </w:r>
          </w:p>
        </w:tc>
      </w:tr>
      <w:tr>
        <w:tc>
          <w:tcPr>
            <w:tcW w:type="dxa" w:w="1882"/>
            <w:shd w:val="clear" w:color="auto" w:fill="EEF3F6"/>
          </w:tcPr>
          <w:p>
            <w:r/>
            <w:r>
              <w:rPr>
                <w:sz w:val="18"/>
              </w:rPr>
              <w:t>2</w:t>
            </w:r>
          </w:p>
        </w:tc>
        <w:tc>
          <w:tcPr>
            <w:tcW w:type="dxa" w:w="1882"/>
            <w:shd w:val="clear" w:color="auto" w:fill="EEF3F6"/>
          </w:tcPr>
          <w:p>
            <w:r/>
            <w:r>
              <w:rPr>
                <w:sz w:val="18"/>
              </w:rPr>
              <w:t>Retune CMS alarm thresholds for ISS bearings (kurtosis 4.5 → 3.8, new envelope band)</w:t>
            </w:r>
          </w:p>
        </w:tc>
        <w:tc>
          <w:tcPr>
            <w:tcW w:type="dxa" w:w="1882"/>
            <w:shd w:val="clear" w:color="auto" w:fill="EEF3F6"/>
          </w:tcPr>
          <w:p>
            <w:r/>
            <w:r>
              <w:rPr>
                <w:sz w:val="18"/>
              </w:rPr>
              <w:t>Sara Lindgren</w:t>
            </w:r>
          </w:p>
        </w:tc>
        <w:tc>
          <w:tcPr>
            <w:tcW w:type="dxa" w:w="1882"/>
            <w:shd w:val="clear" w:color="auto" w:fill="EEF3F6"/>
          </w:tcPr>
          <w:p>
            <w:r/>
            <w:r>
              <w:rPr>
                <w:sz w:val="18"/>
              </w:rPr>
              <w:t>2026-04-30</w:t>
            </w:r>
          </w:p>
        </w:tc>
        <w:tc>
          <w:tcPr>
            <w:tcW w:type="dxa" w:w="1882"/>
            <w:shd w:val="clear" w:color="auto" w:fill="EEF3F6"/>
          </w:tcPr>
          <w:p>
            <w:r/>
            <w:r>
              <w:rPr>
                <w:sz w:val="18"/>
              </w:rPr>
              <w:t>Done</w:t>
            </w:r>
          </w:p>
        </w:tc>
      </w:tr>
      <w:tr>
        <w:tc>
          <w:tcPr>
            <w:tcW w:type="dxa" w:w="1882"/>
          </w:tcPr>
          <w:p>
            <w:r/>
            <w:r>
              <w:rPr>
                <w:sz w:val="18"/>
              </w:rPr>
              <w:t>3</w:t>
            </w:r>
          </w:p>
        </w:tc>
        <w:tc>
          <w:tcPr>
            <w:tcW w:type="dxa" w:w="1882"/>
          </w:tcPr>
          <w:p>
            <w:r/>
            <w:r>
              <w:rPr>
                <w:sz w:val="18"/>
              </w:rPr>
              <w:t>Reduce gearbox oil sampling interval from 6 to 3 months</w:t>
            </w:r>
          </w:p>
        </w:tc>
        <w:tc>
          <w:tcPr>
            <w:tcW w:type="dxa" w:w="1882"/>
          </w:tcPr>
          <w:p>
            <w:r/>
            <w:r>
              <w:rPr>
                <w:sz w:val="18"/>
              </w:rPr>
              <w:t>Ben Okoye</w:t>
            </w:r>
          </w:p>
        </w:tc>
        <w:tc>
          <w:tcPr>
            <w:tcW w:type="dxa" w:w="1882"/>
          </w:tcPr>
          <w:p>
            <w:r/>
            <w:r>
              <w:rPr>
                <w:sz w:val="18"/>
              </w:rPr>
              <w:t>2026-03-01</w:t>
            </w:r>
          </w:p>
        </w:tc>
        <w:tc>
          <w:tcPr>
            <w:tcW w:type="dxa" w:w="1882"/>
          </w:tcPr>
          <w:p>
            <w:r/>
            <w:r>
              <w:rPr>
                <w:sz w:val="18"/>
              </w:rPr>
              <w:t>Done</w:t>
            </w:r>
          </w:p>
        </w:tc>
      </w:tr>
      <w:tr>
        <w:tc>
          <w:tcPr>
            <w:tcW w:type="dxa" w:w="1882"/>
            <w:shd w:val="clear" w:color="auto" w:fill="EEF3F6"/>
          </w:tcPr>
          <w:p>
            <w:r/>
            <w:r>
              <w:rPr>
                <w:sz w:val="18"/>
              </w:rPr>
              <w:t>4</w:t>
            </w:r>
          </w:p>
        </w:tc>
        <w:tc>
          <w:tcPr>
            <w:tcW w:type="dxa" w:w="1882"/>
            <w:shd w:val="clear" w:color="auto" w:fill="EEF3F6"/>
          </w:tcPr>
          <w:p>
            <w:r/>
            <w:r>
              <w:rPr>
                <w:sz w:val="18"/>
              </w:rPr>
              <w:t>Escalation rule: any 'watch' oil result → endoscope within 4 weeks</w:t>
            </w:r>
          </w:p>
        </w:tc>
        <w:tc>
          <w:tcPr>
            <w:tcW w:type="dxa" w:w="1882"/>
            <w:shd w:val="clear" w:color="auto" w:fill="EEF3F6"/>
          </w:tcPr>
          <w:p>
            <w:r/>
            <w:r>
              <w:rPr>
                <w:sz w:val="18"/>
              </w:rPr>
              <w:t>David Chen</w:t>
            </w:r>
          </w:p>
        </w:tc>
        <w:tc>
          <w:tcPr>
            <w:tcW w:type="dxa" w:w="1882"/>
            <w:shd w:val="clear" w:color="auto" w:fill="EEF3F6"/>
          </w:tcPr>
          <w:p>
            <w:r/>
            <w:r>
              <w:rPr>
                <w:sz w:val="18"/>
              </w:rPr>
              <w:t>2026-02-28</w:t>
            </w:r>
          </w:p>
        </w:tc>
        <w:tc>
          <w:tcPr>
            <w:tcW w:type="dxa" w:w="1882"/>
            <w:shd w:val="clear" w:color="auto" w:fill="EEF3F6"/>
          </w:tcPr>
          <w:p>
            <w:r/>
            <w:r>
              <w:rPr>
                <w:sz w:val="18"/>
              </w:rPr>
              <w:t>Done</w:t>
            </w:r>
          </w:p>
        </w:tc>
      </w:tr>
      <w:tr>
        <w:tc>
          <w:tcPr>
            <w:tcW w:type="dxa" w:w="1882"/>
          </w:tcPr>
          <w:p>
            <w:r/>
            <w:r>
              <w:rPr>
                <w:sz w:val="18"/>
              </w:rPr>
              <w:t>5</w:t>
            </w:r>
          </w:p>
        </w:tc>
        <w:tc>
          <w:tcPr>
            <w:tcW w:type="dxa" w:w="1882"/>
          </w:tcPr>
          <w:p>
            <w:r/>
            <w:r>
              <w:rPr>
                <w:sz w:val="18"/>
              </w:rPr>
              <w:t>Request manufacturer statement on serial defect risk (WEC)</w:t>
            </w:r>
          </w:p>
        </w:tc>
        <w:tc>
          <w:tcPr>
            <w:tcW w:type="dxa" w:w="1882"/>
          </w:tcPr>
          <w:p>
            <w:r/>
            <w:r>
              <w:rPr>
                <w:sz w:val="18"/>
              </w:rPr>
              <w:t>David Chen</w:t>
            </w:r>
          </w:p>
        </w:tc>
        <w:tc>
          <w:tcPr>
            <w:tcW w:type="dxa" w:w="1882"/>
          </w:tcPr>
          <w:p>
            <w:r/>
            <w:r>
              <w:rPr>
                <w:sz w:val="18"/>
              </w:rPr>
              <w:t>2026-06-30</w:t>
            </w:r>
          </w:p>
        </w:tc>
        <w:tc>
          <w:tcPr>
            <w:tcW w:type="dxa" w:w="1882"/>
          </w:tcPr>
          <w:p>
            <w:r/>
            <w:r>
              <w:rPr>
                <w:sz w:val="18"/>
              </w:rPr>
              <w:t>Done – no serial defect declared</w:t>
            </w:r>
          </w:p>
        </w:tc>
      </w:tr>
      <w:tr>
        <w:tc>
          <w:tcPr>
            <w:tcW w:type="dxa" w:w="1882"/>
            <w:shd w:val="clear" w:color="auto" w:fill="EEF3F6"/>
          </w:tcPr>
          <w:p>
            <w:r/>
            <w:r>
              <w:rPr>
                <w:sz w:val="18"/>
              </w:rPr>
              <w:t>6</w:t>
            </w:r>
          </w:p>
        </w:tc>
        <w:tc>
          <w:tcPr>
            <w:tcW w:type="dxa" w:w="1882"/>
            <w:shd w:val="clear" w:color="auto" w:fill="EEF3F6"/>
          </w:tcPr>
          <w:p>
            <w:r/>
            <w:r>
              <w:rPr>
                <w:sz w:val="18"/>
              </w:rPr>
              <w:t>Evaluate grid-loss emergency stop count per turbine as a load indicator</w:t>
            </w:r>
          </w:p>
        </w:tc>
        <w:tc>
          <w:tcPr>
            <w:tcW w:type="dxa" w:w="1882"/>
            <w:shd w:val="clear" w:color="auto" w:fill="EEF3F6"/>
          </w:tcPr>
          <w:p>
            <w:r/>
            <w:r>
              <w:rPr>
                <w:sz w:val="18"/>
              </w:rPr>
              <w:t>Sara Lindgren</w:t>
            </w:r>
          </w:p>
        </w:tc>
        <w:tc>
          <w:tcPr>
            <w:tcW w:type="dxa" w:w="1882"/>
            <w:shd w:val="clear" w:color="auto" w:fill="EEF3F6"/>
          </w:tcPr>
          <w:p>
            <w:r/>
            <w:r>
              <w:rPr>
                <w:sz w:val="18"/>
              </w:rPr>
              <w:t>2026-09-30</w:t>
            </w:r>
          </w:p>
        </w:tc>
        <w:tc>
          <w:tcPr>
            <w:tcW w:type="dxa" w:w="1882"/>
            <w:shd w:val="clear" w:color="auto" w:fill="EEF3F6"/>
          </w:tcPr>
          <w:p>
            <w:r/>
            <w:r>
              <w:rPr>
                <w:sz w:val="18"/>
              </w:rPr>
              <w:t>Done – see Operations</w:t>
            </w:r>
          </w:p>
        </w:tc>
      </w:tr>
      <w:tr>
        <w:tc>
          <w:tcPr>
            <w:tcW w:type="dxa" w:w="1882"/>
          </w:tcPr>
          <w:p>
            <w:r/>
            <w:r>
              <w:rPr>
                <w:sz w:val="18"/>
              </w:rPr>
              <w:t>7</w:t>
            </w:r>
          </w:p>
        </w:tc>
        <w:tc>
          <w:tcPr>
            <w:tcW w:type="dxa" w:w="1882"/>
          </w:tcPr>
          <w:p>
            <w:r/>
            <w:r>
              <w:rPr>
                <w:sz w:val="18"/>
              </w:rPr>
              <w:t>Share lessons learned with fleet (Asset Operations) and Harrow Bay O&amp;M readiness</w:t>
            </w:r>
          </w:p>
        </w:tc>
        <w:tc>
          <w:tcPr>
            <w:tcW w:type="dxa" w:w="1882"/>
          </w:tcPr>
          <w:p>
            <w:r/>
            <w:r>
              <w:rPr>
                <w:sz w:val="18"/>
              </w:rPr>
              <w:t>David Chen</w:t>
            </w:r>
          </w:p>
        </w:tc>
        <w:tc>
          <w:tcPr>
            <w:tcW w:type="dxa" w:w="1882"/>
          </w:tcPr>
          <w:p>
            <w:r/>
            <w:r>
              <w:rPr>
                <w:sz w:val="18"/>
              </w:rPr>
              <w:t>2026-05-31</w:t>
            </w:r>
          </w:p>
        </w:tc>
        <w:tc>
          <w:tcPr>
            <w:tcW w:type="dxa" w:w="1882"/>
          </w:tcPr>
          <w:p>
            <w:r/>
            <w:r>
              <w:rPr>
                <w:sz w:val="18"/>
              </w:rPr>
              <w:t>Done</w:t>
            </w:r>
          </w:p>
        </w:tc>
      </w:tr>
      <w:tr>
        <w:tc>
          <w:tcPr>
            <w:tcW w:type="dxa" w:w="1882"/>
            <w:shd w:val="clear" w:color="auto" w:fill="EEF3F6"/>
          </w:tcPr>
          <w:p>
            <w:r/>
            <w:r>
              <w:rPr>
                <w:sz w:val="18"/>
              </w:rPr>
              <w:t>8</w:t>
            </w:r>
          </w:p>
        </w:tc>
        <w:tc>
          <w:tcPr>
            <w:tcW w:type="dxa" w:w="1882"/>
            <w:shd w:val="clear" w:color="auto" w:fill="EEF3F6"/>
          </w:tcPr>
          <w:p>
            <w:r/>
            <w:r>
              <w:rPr>
                <w:sz w:val="18"/>
              </w:rPr>
              <w:t>Additive-treated oil trial on 3 turbines (T-04, T-09, T-12)</w:t>
            </w:r>
          </w:p>
        </w:tc>
        <w:tc>
          <w:tcPr>
            <w:tcW w:type="dxa" w:w="1882"/>
            <w:shd w:val="clear" w:color="auto" w:fill="EEF3F6"/>
          </w:tcPr>
          <w:p>
            <w:r/>
            <w:r>
              <w:rPr>
                <w:sz w:val="18"/>
              </w:rPr>
              <w:t>Ben Okoye</w:t>
            </w:r>
          </w:p>
        </w:tc>
        <w:tc>
          <w:tcPr>
            <w:tcW w:type="dxa" w:w="1882"/>
            <w:shd w:val="clear" w:color="auto" w:fill="EEF3F6"/>
          </w:tcPr>
          <w:p>
            <w:r/>
            <w:r>
              <w:rPr>
                <w:sz w:val="18"/>
              </w:rPr>
              <w:t>2026-12-31</w:t>
            </w:r>
          </w:p>
        </w:tc>
        <w:tc>
          <w:tcPr>
            <w:tcW w:type="dxa" w:w="1882"/>
            <w:shd w:val="clear" w:color="auto" w:fill="EEF3F6"/>
          </w:tcPr>
          <w:p>
            <w:r/>
            <w:r>
              <w:rPr>
                <w:sz w:val="18"/>
              </w:rPr>
              <w:t>In progress</w:t>
            </w:r>
          </w:p>
        </w:tc>
      </w:tr>
    </w:tbl>
    <w:p/>
    <w:p>
      <w:pPr>
        <w:pStyle w:val="Heading1"/>
      </w:pPr>
      <w:r>
        <w:t>4. Corrective and preventive actions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Action</w:t>
            </w:r>
          </w:p>
        </w:tc>
        <w:tc>
          <w:tcPr>
            <w:tcW w:type="dxa" w:w="1882"/>
            <w:shd w:val="clear" w:color="auto" w:fill="0B3C5D"/>
          </w:tcPr>
          <w:p>
            <w:r/>
            <w:r>
              <w:rPr>
                <w:b/>
                <w:color w:val="FFFFFF"/>
                <w:sz w:val="18"/>
              </w:rPr>
              <w:t>Owner</w:t>
            </w:r>
          </w:p>
        </w:tc>
        <w:tc>
          <w:tcPr>
            <w:tcW w:type="dxa" w:w="1882"/>
            <w:shd w:val="clear" w:color="auto" w:fill="0B3C5D"/>
          </w:tcPr>
          <w:p>
            <w:r/>
            <w:r>
              <w:rPr>
                <w:b/>
                <w:color w:val="FFFFFF"/>
                <w:sz w:val="18"/>
              </w:rPr>
              <w:t>Due</w:t>
            </w:r>
          </w:p>
        </w:tc>
        <w:tc>
          <w:tcPr>
            <w:tcW w:type="dxa" w:w="1882"/>
            <w:shd w:val="clear" w:color="auto" w:fill="0B3C5D"/>
          </w:tcPr>
          <w:p>
            <w:r/>
            <w:r>
              <w:rPr>
                <w:b/>
                <w:color w:val="FFFFFF"/>
                <w:sz w:val="18"/>
              </w:rPr>
              <w:t>Status</w:t>
            </w:r>
          </w:p>
        </w:tc>
      </w:tr>
      <w:tr>
        <w:tc>
          <w:tcPr>
            <w:tcW w:type="dxa" w:w="1882"/>
          </w:tcPr>
          <w:p>
            <w:r/>
            <w:r>
              <w:rPr>
                <w:sz w:val="18"/>
              </w:rPr>
              <w:t>1</w:t>
            </w:r>
          </w:p>
        </w:tc>
        <w:tc>
          <w:tcPr>
            <w:tcW w:type="dxa" w:w="1882"/>
          </w:tcPr>
          <w:p>
            <w:r/>
            <w:r>
              <w:rPr>
                <w:sz w:val="18"/>
              </w:rPr>
              <w:t>Fleet endoscope inspection of all ISS/HSS bearings</w:t>
            </w:r>
          </w:p>
        </w:tc>
        <w:tc>
          <w:tcPr>
            <w:tcW w:type="dxa" w:w="1882"/>
          </w:tcPr>
          <w:p>
            <w:r/>
            <w:r>
              <w:rPr>
                <w:sz w:val="18"/>
              </w:rPr>
              <w:t>Highline / Ben Okoye</w:t>
            </w:r>
          </w:p>
        </w:tc>
        <w:tc>
          <w:tcPr>
            <w:tcW w:type="dxa" w:w="1882"/>
          </w:tcPr>
          <w:p>
            <w:r/>
            <w:r>
              <w:rPr>
                <w:sz w:val="18"/>
              </w:rPr>
              <w:t>2026-03-31</w:t>
            </w:r>
          </w:p>
        </w:tc>
        <w:tc>
          <w:tcPr>
            <w:tcW w:type="dxa" w:w="1882"/>
          </w:tcPr>
          <w:p>
            <w:r/>
            <w:r>
              <w:rPr>
                <w:sz w:val="18"/>
              </w:rPr>
              <w:t>Open</w:t>
            </w:r>
          </w:p>
        </w:tc>
      </w:tr>
      <w:tr>
        <w:tc>
          <w:tcPr>
            <w:tcW w:type="dxa" w:w="1882"/>
            <w:shd w:val="clear" w:color="auto" w:fill="EEF3F6"/>
          </w:tcPr>
          <w:p>
            <w:r/>
            <w:r>
              <w:rPr>
                <w:sz w:val="18"/>
              </w:rPr>
              <w:t>2</w:t>
            </w:r>
          </w:p>
        </w:tc>
        <w:tc>
          <w:tcPr>
            <w:tcW w:type="dxa" w:w="1882"/>
            <w:shd w:val="clear" w:color="auto" w:fill="EEF3F6"/>
          </w:tcPr>
          <w:p>
            <w:r/>
            <w:r>
              <w:rPr>
                <w:sz w:val="18"/>
              </w:rPr>
              <w:t>Retune CMS alarm thresholds for ISS bearings (kurtosis 4.5 → 3.8, new envelope band)</w:t>
            </w:r>
          </w:p>
        </w:tc>
        <w:tc>
          <w:tcPr>
            <w:tcW w:type="dxa" w:w="1882"/>
            <w:shd w:val="clear" w:color="auto" w:fill="EEF3F6"/>
          </w:tcPr>
          <w:p>
            <w:r/>
            <w:r>
              <w:rPr>
                <w:sz w:val="18"/>
              </w:rPr>
              <w:t>Sara Lindgren</w:t>
            </w:r>
          </w:p>
        </w:tc>
        <w:tc>
          <w:tcPr>
            <w:tcW w:type="dxa" w:w="1882"/>
            <w:shd w:val="clear" w:color="auto" w:fill="EEF3F6"/>
          </w:tcPr>
          <w:p>
            <w:r/>
            <w:r>
              <w:rPr>
                <w:sz w:val="18"/>
              </w:rPr>
              <w:t>2026-04-30</w:t>
            </w:r>
          </w:p>
        </w:tc>
        <w:tc>
          <w:tcPr>
            <w:tcW w:type="dxa" w:w="1882"/>
            <w:shd w:val="clear" w:color="auto" w:fill="EEF3F6"/>
          </w:tcPr>
          <w:p>
            <w:r/>
            <w:r>
              <w:rPr>
                <w:sz w:val="18"/>
              </w:rPr>
              <w:t>Open</w:t>
            </w:r>
          </w:p>
        </w:tc>
      </w:tr>
      <w:tr>
        <w:tc>
          <w:tcPr>
            <w:tcW w:type="dxa" w:w="1882"/>
          </w:tcPr>
          <w:p>
            <w:r/>
            <w:r>
              <w:rPr>
                <w:sz w:val="18"/>
              </w:rPr>
              <w:t>3</w:t>
            </w:r>
          </w:p>
        </w:tc>
        <w:tc>
          <w:tcPr>
            <w:tcW w:type="dxa" w:w="1882"/>
          </w:tcPr>
          <w:p>
            <w:r/>
            <w:r>
              <w:rPr>
                <w:sz w:val="18"/>
              </w:rPr>
              <w:t>Reduce gearbox oil sampling interval from 6 to 3 months</w:t>
            </w:r>
          </w:p>
        </w:tc>
        <w:tc>
          <w:tcPr>
            <w:tcW w:type="dxa" w:w="1882"/>
          </w:tcPr>
          <w:p>
            <w:r/>
            <w:r>
              <w:rPr>
                <w:sz w:val="18"/>
              </w:rPr>
              <w:t>Ben Okoye</w:t>
            </w:r>
          </w:p>
        </w:tc>
        <w:tc>
          <w:tcPr>
            <w:tcW w:type="dxa" w:w="1882"/>
          </w:tcPr>
          <w:p>
            <w:r/>
            <w:r>
              <w:rPr>
                <w:sz w:val="18"/>
              </w:rPr>
              <w:t>2026-03-01</w:t>
            </w:r>
          </w:p>
        </w:tc>
        <w:tc>
          <w:tcPr>
            <w:tcW w:type="dxa" w:w="1882"/>
          </w:tcPr>
          <w:p>
            <w:r/>
            <w:r>
              <w:rPr>
                <w:sz w:val="18"/>
              </w:rPr>
              <w:t>Open</w:t>
            </w:r>
          </w:p>
        </w:tc>
      </w:tr>
      <w:tr>
        <w:tc>
          <w:tcPr>
            <w:tcW w:type="dxa" w:w="1882"/>
            <w:shd w:val="clear" w:color="auto" w:fill="EEF3F6"/>
          </w:tcPr>
          <w:p>
            <w:r/>
            <w:r>
              <w:rPr>
                <w:sz w:val="18"/>
              </w:rPr>
              <w:t>4</w:t>
            </w:r>
          </w:p>
        </w:tc>
        <w:tc>
          <w:tcPr>
            <w:tcW w:type="dxa" w:w="1882"/>
            <w:shd w:val="clear" w:color="auto" w:fill="EEF3F6"/>
          </w:tcPr>
          <w:p>
            <w:r/>
            <w:r>
              <w:rPr>
                <w:sz w:val="18"/>
              </w:rPr>
              <w:t>Escalation rule: any 'watch' oil result → endoscope within 4 weeks</w:t>
            </w:r>
          </w:p>
        </w:tc>
        <w:tc>
          <w:tcPr>
            <w:tcW w:type="dxa" w:w="1882"/>
            <w:shd w:val="clear" w:color="auto" w:fill="EEF3F6"/>
          </w:tcPr>
          <w:p>
            <w:r/>
            <w:r>
              <w:rPr>
                <w:sz w:val="18"/>
              </w:rPr>
              <w:t>David Chen</w:t>
            </w:r>
          </w:p>
        </w:tc>
        <w:tc>
          <w:tcPr>
            <w:tcW w:type="dxa" w:w="1882"/>
            <w:shd w:val="clear" w:color="auto" w:fill="EEF3F6"/>
          </w:tcPr>
          <w:p>
            <w:r/>
            <w:r>
              <w:rPr>
                <w:sz w:val="18"/>
              </w:rPr>
              <w:t>2026-02-28</w:t>
            </w:r>
          </w:p>
        </w:tc>
        <w:tc>
          <w:tcPr>
            <w:tcW w:type="dxa" w:w="1882"/>
            <w:shd w:val="clear" w:color="auto" w:fill="EEF3F6"/>
          </w:tcPr>
          <w:p>
            <w:r/>
            <w:r>
              <w:rPr>
                <w:sz w:val="18"/>
              </w:rPr>
              <w:t>Open</w:t>
            </w:r>
          </w:p>
        </w:tc>
      </w:tr>
      <w:tr>
        <w:tc>
          <w:tcPr>
            <w:tcW w:type="dxa" w:w="1882"/>
          </w:tcPr>
          <w:p>
            <w:r/>
            <w:r>
              <w:rPr>
                <w:sz w:val="18"/>
              </w:rPr>
              <w:t>5</w:t>
            </w:r>
          </w:p>
        </w:tc>
        <w:tc>
          <w:tcPr>
            <w:tcW w:type="dxa" w:w="1882"/>
          </w:tcPr>
          <w:p>
            <w:r/>
            <w:r>
              <w:rPr>
                <w:sz w:val="18"/>
              </w:rPr>
              <w:t>Request manufacturer statement on serial defect risk (WEC)</w:t>
            </w:r>
          </w:p>
        </w:tc>
        <w:tc>
          <w:tcPr>
            <w:tcW w:type="dxa" w:w="1882"/>
          </w:tcPr>
          <w:p>
            <w:r/>
            <w:r>
              <w:rPr>
                <w:sz w:val="18"/>
              </w:rPr>
              <w:t>David Chen</w:t>
            </w:r>
          </w:p>
        </w:tc>
        <w:tc>
          <w:tcPr>
            <w:tcW w:type="dxa" w:w="1882"/>
          </w:tcPr>
          <w:p>
            <w:r/>
            <w:r>
              <w:rPr>
                <w:sz w:val="18"/>
              </w:rPr>
              <w:t>2026-06-30</w:t>
            </w:r>
          </w:p>
        </w:tc>
        <w:tc>
          <w:tcPr>
            <w:tcW w:type="dxa" w:w="1882"/>
          </w:tcPr>
          <w:p>
            <w:r/>
            <w:r>
              <w:rPr>
                <w:sz w:val="18"/>
              </w:rPr>
              <w:t>Open</w:t>
            </w:r>
          </w:p>
        </w:tc>
      </w:tr>
      <w:tr>
        <w:tc>
          <w:tcPr>
            <w:tcW w:type="dxa" w:w="1882"/>
            <w:shd w:val="clear" w:color="auto" w:fill="EEF3F6"/>
          </w:tcPr>
          <w:p>
            <w:r/>
            <w:r>
              <w:rPr>
                <w:sz w:val="18"/>
              </w:rPr>
              <w:t>6</w:t>
            </w:r>
          </w:p>
        </w:tc>
        <w:tc>
          <w:tcPr>
            <w:tcW w:type="dxa" w:w="1882"/>
            <w:shd w:val="clear" w:color="auto" w:fill="EEF3F6"/>
          </w:tcPr>
          <w:p>
            <w:r/>
            <w:r>
              <w:rPr>
                <w:sz w:val="18"/>
              </w:rPr>
              <w:t>Evaluate grid-loss emergency stop count per turbine as a load indicator</w:t>
            </w:r>
          </w:p>
        </w:tc>
        <w:tc>
          <w:tcPr>
            <w:tcW w:type="dxa" w:w="1882"/>
            <w:shd w:val="clear" w:color="auto" w:fill="EEF3F6"/>
          </w:tcPr>
          <w:p>
            <w:r/>
            <w:r>
              <w:rPr>
                <w:sz w:val="18"/>
              </w:rPr>
              <w:t>Sara Lindgren</w:t>
            </w:r>
          </w:p>
        </w:tc>
        <w:tc>
          <w:tcPr>
            <w:tcW w:type="dxa" w:w="1882"/>
            <w:shd w:val="clear" w:color="auto" w:fill="EEF3F6"/>
          </w:tcPr>
          <w:p>
            <w:r/>
            <w:r>
              <w:rPr>
                <w:sz w:val="18"/>
              </w:rPr>
              <w:t>2026-09-30</w:t>
            </w:r>
          </w:p>
        </w:tc>
        <w:tc>
          <w:tcPr>
            <w:tcW w:type="dxa" w:w="1882"/>
            <w:shd w:val="clear" w:color="auto" w:fill="EEF3F6"/>
          </w:tcPr>
          <w:p>
            <w:r/>
            <w:r>
              <w:rPr>
                <w:sz w:val="18"/>
              </w:rPr>
              <w:t>Open</w:t>
            </w:r>
          </w:p>
        </w:tc>
      </w:tr>
      <w:tr>
        <w:tc>
          <w:tcPr>
            <w:tcW w:type="dxa" w:w="1882"/>
          </w:tcPr>
          <w:p>
            <w:r/>
            <w:r>
              <w:rPr>
                <w:sz w:val="18"/>
              </w:rPr>
              <w:t>7</w:t>
            </w:r>
          </w:p>
        </w:tc>
        <w:tc>
          <w:tcPr>
            <w:tcW w:type="dxa" w:w="1882"/>
          </w:tcPr>
          <w:p>
            <w:r/>
            <w:r>
              <w:rPr>
                <w:sz w:val="18"/>
              </w:rPr>
              <w:t>Share lessons learned with fleet (Asset Operations) and Harrow Bay O&amp;M readiness</w:t>
            </w:r>
          </w:p>
        </w:tc>
        <w:tc>
          <w:tcPr>
            <w:tcW w:type="dxa" w:w="1882"/>
          </w:tcPr>
          <w:p>
            <w:r/>
            <w:r>
              <w:rPr>
                <w:sz w:val="18"/>
              </w:rPr>
              <w:t>David Chen</w:t>
            </w:r>
          </w:p>
        </w:tc>
        <w:tc>
          <w:tcPr>
            <w:tcW w:type="dxa" w:w="1882"/>
          </w:tcPr>
          <w:p>
            <w:r/>
            <w:r>
              <w:rPr>
                <w:sz w:val="18"/>
              </w:rPr>
              <w:t>2026-05-31</w:t>
            </w:r>
          </w:p>
        </w:tc>
        <w:tc>
          <w:tcPr>
            <w:tcW w:type="dxa" w:w="1882"/>
          </w:tcPr>
          <w:p>
            <w:r/>
            <w:r>
              <w:rPr>
                <w:sz w:val="18"/>
              </w:rPr>
              <w:t>Open</w:t>
            </w:r>
          </w:p>
        </w:tc>
      </w:tr>
      <w:tr>
        <w:tc>
          <w:tcPr>
            <w:tcW w:type="dxa" w:w="1882"/>
            <w:shd w:val="clear" w:color="auto" w:fill="EEF3F6"/>
          </w:tcPr>
          <w:p>
            <w:r/>
            <w:r>
              <w:rPr>
                <w:sz w:val="18"/>
              </w:rPr>
              <w:t>8</w:t>
            </w:r>
          </w:p>
        </w:tc>
        <w:tc>
          <w:tcPr>
            <w:tcW w:type="dxa" w:w="1882"/>
            <w:shd w:val="clear" w:color="auto" w:fill="EEF3F6"/>
          </w:tcPr>
          <w:p>
            <w:r/>
            <w:r>
              <w:rPr>
                <w:sz w:val="18"/>
              </w:rPr>
              <w:t>Additive-treated oil trial on 3 turbines (T-04, T-09, T-12)</w:t>
            </w:r>
          </w:p>
        </w:tc>
        <w:tc>
          <w:tcPr>
            <w:tcW w:type="dxa" w:w="1882"/>
            <w:shd w:val="clear" w:color="auto" w:fill="EEF3F6"/>
          </w:tcPr>
          <w:p>
            <w:r/>
            <w:r>
              <w:rPr>
                <w:sz w:val="18"/>
              </w:rPr>
              <w:t>Ben Okoye</w:t>
            </w:r>
          </w:p>
        </w:tc>
        <w:tc>
          <w:tcPr>
            <w:tcW w:type="dxa" w:w="1882"/>
            <w:shd w:val="clear" w:color="auto" w:fill="EEF3F6"/>
          </w:tcPr>
          <w:p>
            <w:r/>
            <w:r>
              <w:rPr>
                <w:sz w:val="18"/>
              </w:rPr>
              <w:t>2026-12-31</w:t>
            </w:r>
          </w:p>
        </w:tc>
        <w:tc>
          <w:tcPr>
            <w:tcW w:type="dxa" w:w="1882"/>
            <w:shd w:val="clear" w:color="auto" w:fill="EEF3F6"/>
          </w:tcPr>
          <w:p>
            <w:r/>
            <w:r>
              <w:rPr>
                <w:sz w:val="18"/>
              </w:rPr>
              <w:t>Open</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Root Cause Analysis KR-INC-2026-003  ·  KR-INC-2026-003-RCA</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KR-INC-2026-003</dc:title>
  <dc:subject>T-07 gearbox – ISS bearing failure</dc:subject>
  <dc:creator>David Chen</dc:creator>
  <cp:keywords>approved</cp:keywords>
  <dc:description>generated by python-docx</dc:description>
  <cp:lastModifiedBy>David Chen</cp:lastModifiedBy>
  <cp:revision>1</cp:revision>
  <dcterms:created xsi:type="dcterms:W3CDTF">2026-01-27T10:00:00Z</dcterms:created>
  <dcterms:modified xsi:type="dcterms:W3CDTF">2026-03-12T10:00:00Z</dcterms:modified>
  <cp:category/>
</cp:coreProperties>
</file>