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Term Sheet – Corporate Power Purchase Agreement</w:t>
      </w:r>
    </w:p>
    <w:p>
      <w:r>
        <w:rPr>
          <w:color w:val="1FA2A6"/>
          <w:sz w:val="25"/>
        </w:rPr>
        <w:t>Harrow Bay Offshore Wind × Arcturus Steel AG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Priya Nair  ·  23 January 2026  ·  WE-PPA-2026-004</w:t>
      </w:r>
    </w:p>
    <w:p>
      <w:pPr>
        <w:pStyle w:val="Heading1"/>
      </w:pPr>
      <w:r>
        <w:t>1. Parties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Entity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Seller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Harrow Bay Offshore Wind Ltd (100 % subsidiary of Weyland Energy GmbH)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Buyer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Arcturus Steel AG, Duisburg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Guarantor (Seller)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Weyland Energy GmbH, Hamburg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Guarantor (Buyer)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Arcturus Holding SE (parent company guarantee)</w:t>
            </w:r>
          </w:p>
        </w:tc>
      </w:tr>
    </w:tbl>
    <w:p/>
    <w:p>
      <w:pPr>
        <w:pStyle w:val="Heading1"/>
      </w:pPr>
      <w:r>
        <w:t>2. Commercial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Proposed position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Contracted capacity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120–150 MW (to be confirmed)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Volume structure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Baseload profile 17 MW flat, shaped by Seller (Arcturus preference)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Term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12 years from COD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Price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Fixed price, indexation from year 1 (Arcturus ask: none)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Open point: Arcturus wants a baseload shape. We cannot accept shaping risk at this size – push for pay-as-produced with a price discount instead.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Term Sheet – Corporate Power Purchase Agreement  ·  WE-PPA-2026-004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STRICTLY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 Sheet – Corporate Power Purchase Agreement</dc:title>
  <dc:subject>Harrow Bay Offshore Wind × Arcturus Steel AG</dc:subject>
  <dc:creator>Priya Nair</dc:creator>
  <cp:keywords>confidential, draft</cp:keywords>
  <dc:description>generated by python-docx</dc:description>
  <cp:lastModifiedBy>Priya Nair</cp:lastModifiedBy>
  <cp:revision>1</cp:revision>
  <dcterms:created xsi:type="dcterms:W3CDTF">2026-01-19T10:00:00Z</dcterms:created>
  <dcterms:modified xsi:type="dcterms:W3CDTF">2026-01-23T10:00:00Z</dcterms:modified>
  <cp:category/>
</cp:coreProperties>
</file>