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B3C5D"/>
          <w:sz w:val="44"/>
        </w:rPr>
        <w:t>Campaign brief: Powering the North</w:t>
      </w:r>
    </w:p>
    <w:p>
      <w:r>
        <w:rPr>
          <w:color w:val="1FA2A6"/>
          <w:sz w:val="25"/>
        </w:rPr>
        <w:t>Employer and corporate brand campaign · June–September 2026</w:t>
      </w:r>
    </w:p>
    <w:p>
      <w:pPr>
        <w:pBdr>
          <w:bottom w:val="single" w:sz="12" w:space="6" w:color="1FA2A6"/>
        </w:pBdr>
      </w:pPr>
      <w:r>
        <w:rPr>
          <w:color w:val="4A5A68"/>
          <w:sz w:val="18"/>
        </w:rPr>
        <w:t>Noah Fischer  ·  06 March 2026  ·  WE-MC-BRF-2026-02</w:t>
      </w:r>
    </w:p>
    <w:p>
      <w:pPr>
        <w:pStyle w:val="Heading1"/>
      </w:pPr>
      <w:r>
        <w:t>1. Why this campaign, why now</w:t>
      </w:r>
    </w:p>
    <w:p>
      <w:r>
        <w:t>2026 is the year Weyland becomes a builder: Harrow Bay moves into offshore construction, Kestrel Ridge is proving itself in operation and Millbrook is going through planning. At the same time we need to hire around 80 people this year – engineers, technicians, project managers – in a market where every developer is hiring. Awareness of Weyland outside the industry is low: in our February survey only 9 % of engineers in Hamburg and 6 % in Edinburgh knew the name.</w:t>
      </w:r>
    </w:p>
    <w:p>
      <w:r>
        <w:rPr>
          <w:b/>
        </w:rPr>
        <w:t>Powering the North</w:t>
      </w:r>
      <w:r>
        <w:t xml:space="preserve"> tells one story to two audiences: to future colleagues (</w:t>
      </w:r>
      <w:r>
        <w:rPr>
          <w:i/>
        </w:rPr>
        <w:t>come and build this with us</w:t>
      </w:r>
      <w:r>
        <w:t>) and to partners and lenders (</w:t>
      </w:r>
      <w:r>
        <w:rPr>
          <w:i/>
        </w:rPr>
        <w:t>this is a company that delivers</w:t>
      </w:r>
      <w:r>
        <w:t>).</w:t>
      </w:r>
    </w:p>
    <w:p>
      <w:pPr>
        <w:pStyle w:val="Heading1"/>
      </w:pPr>
      <w:r>
        <w:t>2. Objectives and KPIs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3422"/>
            <w:shd w:val="clear" w:color="auto" w:fill="0B3C5D"/>
          </w:tcPr>
          <w:p>
            <w:r/>
            <w:r>
              <w:rPr>
                <w:b/>
                <w:color w:val="FFFFFF"/>
                <w:sz w:val="18"/>
              </w:rPr>
              <w:t>Objective</w:t>
            </w:r>
          </w:p>
        </w:tc>
        <w:tc>
          <w:tcPr>
            <w:tcW w:type="dxa" w:w="2567"/>
            <w:shd w:val="clear" w:color="auto" w:fill="0B3C5D"/>
          </w:tcPr>
          <w:p>
            <w:r/>
            <w:r>
              <w:rPr>
                <w:b/>
                <w:color w:val="FFFFFF"/>
                <w:sz w:val="18"/>
              </w:rPr>
              <w:t>KPI</w:t>
            </w:r>
          </w:p>
        </w:tc>
        <w:tc>
          <w:tcPr>
            <w:tcW w:type="dxa" w:w="1711"/>
            <w:shd w:val="clear" w:color="auto" w:fill="0B3C5D"/>
          </w:tcPr>
          <w:p>
            <w:r/>
            <w:r>
              <w:rPr>
                <w:b/>
                <w:color w:val="FFFFFF"/>
                <w:sz w:val="18"/>
              </w:rPr>
              <w:t>Target (Jun–Sep)</w:t>
            </w:r>
          </w:p>
        </w:tc>
        <w:tc>
          <w:tcPr>
            <w:tcW w:type="dxa" w:w="1711"/>
            <w:shd w:val="clear" w:color="auto" w:fill="0B3C5D"/>
          </w:tcPr>
          <w:p>
            <w:r/>
            <w:r>
              <w:rPr>
                <w:b/>
                <w:color w:val="FFFFFF"/>
                <w:sz w:val="18"/>
              </w:rPr>
              <w:t>Baseline</w:t>
            </w:r>
          </w:p>
        </w:tc>
      </w:tr>
      <w:tr>
        <w:tc>
          <w:tcPr>
            <w:tcW w:type="dxa" w:w="3422"/>
          </w:tcPr>
          <w:p>
            <w:r/>
            <w:r>
              <w:rPr>
                <w:sz w:val="18"/>
              </w:rPr>
              <w:t>Awareness among engineers in Hamburg, Edinburgh, Copenhagen</w:t>
            </w:r>
          </w:p>
        </w:tc>
        <w:tc>
          <w:tcPr>
            <w:tcW w:type="dxa" w:w="2567"/>
          </w:tcPr>
          <w:p>
            <w:r/>
            <w:r>
              <w:rPr>
                <w:sz w:val="18"/>
              </w:rPr>
              <w:t>Aided awareness (survey)</w:t>
            </w:r>
          </w:p>
        </w:tc>
        <w:tc>
          <w:tcPr>
            <w:tcW w:type="dxa" w:w="1711"/>
          </w:tcPr>
          <w:p>
            <w:r/>
            <w:r>
              <w:rPr>
                <w:sz w:val="18"/>
              </w:rPr>
              <w:t>20 %</w:t>
            </w:r>
          </w:p>
        </w:tc>
        <w:tc>
          <w:tcPr>
            <w:tcW w:type="dxa" w:w="1711"/>
          </w:tcPr>
          <w:p>
            <w:r/>
            <w:r>
              <w:rPr>
                <w:sz w:val="18"/>
              </w:rPr>
              <w:t>9 % / 6 % / 4 %</w:t>
            </w:r>
          </w:p>
        </w:tc>
      </w:tr>
      <w:tr>
        <w:tc>
          <w:tcPr>
            <w:tcW w:type="dxa" w:w="3422"/>
            <w:shd w:val="clear" w:color="auto" w:fill="EEF3F6"/>
          </w:tcPr>
          <w:p>
            <w:r/>
            <w:r>
              <w:rPr>
                <w:sz w:val="18"/>
              </w:rPr>
              <w:t>Reach</w:t>
            </w:r>
          </w:p>
        </w:tc>
        <w:tc>
          <w:tcPr>
            <w:tcW w:type="dxa" w:w="2567"/>
            <w:shd w:val="clear" w:color="auto" w:fill="EEF3F6"/>
          </w:tcPr>
          <w:p>
            <w:r/>
            <w:r>
              <w:rPr>
                <w:sz w:val="18"/>
              </w:rPr>
              <w:t>Paid + organic impressions</w:t>
            </w:r>
          </w:p>
        </w:tc>
        <w:tc>
          <w:tcPr>
            <w:tcW w:type="dxa" w:w="1711"/>
            <w:shd w:val="clear" w:color="auto" w:fill="EEF3F6"/>
          </w:tcPr>
          <w:p>
            <w:r/>
            <w:r>
              <w:rPr>
                <w:sz w:val="18"/>
              </w:rPr>
              <w:t>4.5 million</w:t>
            </w:r>
          </w:p>
        </w:tc>
        <w:tc>
          <w:tcPr>
            <w:tcW w:type="dxa" w:w="1711"/>
            <w:shd w:val="clear" w:color="auto" w:fill="EEF3F6"/>
          </w:tcPr>
          <w:p>
            <w:r/>
            <w:r>
              <w:rPr>
                <w:sz w:val="18"/>
              </w:rPr>
              <w:t>–</w:t>
            </w:r>
          </w:p>
        </w:tc>
      </w:tr>
      <w:tr>
        <w:tc>
          <w:tcPr>
            <w:tcW w:type="dxa" w:w="3422"/>
          </w:tcPr>
          <w:p>
            <w:r/>
            <w:r>
              <w:rPr>
                <w:sz w:val="18"/>
              </w:rPr>
              <w:t>Recruiting</w:t>
            </w:r>
          </w:p>
        </w:tc>
        <w:tc>
          <w:tcPr>
            <w:tcW w:type="dxa" w:w="2567"/>
          </w:tcPr>
          <w:p>
            <w:r/>
            <w:r>
              <w:rPr>
                <w:sz w:val="18"/>
              </w:rPr>
              <w:t>Applications via careers page</w:t>
            </w:r>
          </w:p>
        </w:tc>
        <w:tc>
          <w:tcPr>
            <w:tcW w:type="dxa" w:w="1711"/>
          </w:tcPr>
          <w:p>
            <w:r/>
            <w:r>
              <w:rPr>
                <w:sz w:val="18"/>
              </w:rPr>
              <w:t>1,000</w:t>
            </w:r>
          </w:p>
        </w:tc>
        <w:tc>
          <w:tcPr>
            <w:tcW w:type="dxa" w:w="1711"/>
          </w:tcPr>
          <w:p>
            <w:r/>
            <w:r>
              <w:rPr>
                <w:sz w:val="18"/>
              </w:rPr>
              <w:t>690 (Jun–Sep 2025)</w:t>
            </w:r>
          </w:p>
        </w:tc>
      </w:tr>
      <w:tr>
        <w:tc>
          <w:tcPr>
            <w:tcW w:type="dxa" w:w="3422"/>
            <w:shd w:val="clear" w:color="auto" w:fill="EEF3F6"/>
          </w:tcPr>
          <w:p>
            <w:r/>
            <w:r>
              <w:rPr>
                <w:sz w:val="18"/>
              </w:rPr>
              <w:t>Engagement</w:t>
            </w:r>
          </w:p>
        </w:tc>
        <w:tc>
          <w:tcPr>
            <w:tcW w:type="dxa" w:w="2567"/>
            <w:shd w:val="clear" w:color="auto" w:fill="EEF3F6"/>
          </w:tcPr>
          <w:p>
            <w:r/>
            <w:r>
              <w:rPr>
                <w:sz w:val="18"/>
              </w:rPr>
              <w:t>LinkedIn engagement rate</w:t>
            </w:r>
          </w:p>
        </w:tc>
        <w:tc>
          <w:tcPr>
            <w:tcW w:type="dxa" w:w="1711"/>
            <w:shd w:val="clear" w:color="auto" w:fill="EEF3F6"/>
          </w:tcPr>
          <w:p>
            <w:r/>
            <w:r>
              <w:rPr>
                <w:sz w:val="18"/>
              </w:rPr>
              <w:t>≥ 4.0 %</w:t>
            </w:r>
          </w:p>
        </w:tc>
        <w:tc>
          <w:tcPr>
            <w:tcW w:type="dxa" w:w="1711"/>
            <w:shd w:val="clear" w:color="auto" w:fill="EEF3F6"/>
          </w:tcPr>
          <w:p>
            <w:r/>
            <w:r>
              <w:rPr>
                <w:sz w:val="18"/>
              </w:rPr>
              <w:t>2.6 %</w:t>
            </w:r>
          </w:p>
        </w:tc>
      </w:tr>
      <w:tr>
        <w:tc>
          <w:tcPr>
            <w:tcW w:type="dxa" w:w="3422"/>
          </w:tcPr>
          <w:p>
            <w:r/>
            <w:r>
              <w:rPr>
                <w:sz w:val="18"/>
              </w:rPr>
              <w:t>Reputation</w:t>
            </w:r>
          </w:p>
        </w:tc>
        <w:tc>
          <w:tcPr>
            <w:tcW w:type="dxa" w:w="2567"/>
          </w:tcPr>
          <w:p>
            <w:r/>
            <w:r>
              <w:rPr>
                <w:sz w:val="18"/>
              </w:rPr>
              <w:t>Share of voice in trade press vs. 5 peers</w:t>
            </w:r>
          </w:p>
        </w:tc>
        <w:tc>
          <w:tcPr>
            <w:tcW w:type="dxa" w:w="1711"/>
          </w:tcPr>
          <w:p>
            <w:r/>
            <w:r>
              <w:rPr>
                <w:sz w:val="18"/>
              </w:rPr>
              <w:t>≥ 18 %</w:t>
            </w:r>
          </w:p>
        </w:tc>
        <w:tc>
          <w:tcPr>
            <w:tcW w:type="dxa" w:w="1711"/>
          </w:tcPr>
          <w:p>
            <w:r/>
            <w:r>
              <w:rPr>
                <w:sz w:val="18"/>
              </w:rPr>
              <w:t>11 %</w:t>
            </w:r>
          </w:p>
        </w:tc>
      </w:tr>
    </w:tbl>
    <w:p/>
    <w:p>
      <w:pPr>
        <w:pStyle w:val="Heading1"/>
      </w:pPr>
      <w:r>
        <w:t>4. Creative idea</w:t>
      </w:r>
    </w:p>
    <w:sectPr w:rsidR="00FC693F" w:rsidRPr="0006063C" w:rsidSect="00034616">
      <w:headerReference w:type="default" r:id="rId9"/>
      <w:footerReference w:type="default" r:id="rId10"/>
      <w:pgSz w:w="11906" w:h="16838"/>
      <w:pgMar w:top="130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A5A68"/>
        <w:sz w:val="16"/>
      </w:rPr>
      <w:t>Campaign brief: Powering the North  ·  WE-MC-BRF-2026-02</w:t>
      <w:tab/>
      <w:tab/>
      <w:t xml:space="preserve">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0B3C5D"/>
        <w:sz w:val="18"/>
      </w:rPr>
      <w:t>WEYLAND</w:t>
    </w:r>
    <w:r>
      <w:rPr>
        <w:color w:val="1FA2A6"/>
        <w:sz w:val="18"/>
      </w:rPr>
      <w:t xml:space="preserve"> ENERGY</w:t>
    </w:r>
    <w:r>
      <w:rPr>
        <w:b/>
        <w:color w:val="E4572E"/>
        <w:sz w:val="16"/>
      </w:rPr>
      <w:tab/>
      <w:tab/>
      <w:t>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2230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Arial" w:hAnsi="Arial" w:cs="Arial" w:eastAsia="Arial"/>
      <w:b/>
      <w:bCs/>
      <w:color w:val="0B3C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cs="Arial" w:eastAsia="Arial"/>
      <w:b/>
      <w:bCs/>
      <w:color w:val="0B3C5D"/>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cs="Arial" w:eastAsia="Arial"/>
      <w:b/>
      <w:bCs/>
      <w:color w:val="1FA2A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Campaign brief: Powering the North</dc:title>
  <dc:subject>Employer and corporate brand campaign · June–September 2026</dc:subject>
  <dc:creator>Noah Fischer</dc:creator>
  <cp:keywords>approved, campaign</cp:keywords>
  <dc:description>generated by python-docx</dc:description>
  <cp:lastModifiedBy>Noah Fischer</cp:lastModifiedBy>
  <cp:revision>1</cp:revision>
  <dcterms:created xsi:type="dcterms:W3CDTF">2026-02-23T10:00:00Z</dcterms:created>
  <dcterms:modified xsi:type="dcterms:W3CDTF">2026-03-06T10:00:00Z</dcterms:modified>
  <cp:category/>
</cp:coreProperties>
</file>