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Holding statement and reactive Q&amp;A</w:t>
      </w:r>
    </w:p>
    <w:p>
      <w:r>
        <w:rPr>
          <w:color w:val="1FA2A6"/>
          <w:sz w:val="25"/>
        </w:rPr>
        <w:t>Harrow Bay export cable 2 – HB-RISK-017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Noah Fischer  ·  22 July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reactive use only. Do not send proactively.</w:t>
            </w:r>
          </w:p>
        </w:tc>
      </w:tr>
    </w:tbl>
    <w:p/>
    <w:p>
      <w:r>
        <w:t>Weyland is aware of a quality issue identified during factory testing of one of the export cables for Harrow Bay. We are working with the supplier and will update in due course.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Holding statement and reactive Q&amp;A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Holding statement and reactive Q&amp;A</dc:title>
  <dc:subject>Harrow Bay export cable 2 – HB-RISK-017</dc:subject>
  <dc:creator>Noah Fischer</dc:creator>
  <cp:keywords>confidential, approved</cp:keywords>
  <dc:description>generated by python-docx</dc:description>
  <cp:lastModifiedBy>Noah Fischer</cp:lastModifiedBy>
  <cp:revision>1</cp:revision>
  <dcterms:created xsi:type="dcterms:W3CDTF">2026-07-22T10:00:00Z</dcterms:created>
  <dcterms:modified xsi:type="dcterms:W3CDTF">2026-07-22T10:00:00Z</dcterms:modified>
  <cp:category/>
</cp:coreProperties>
</file>