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Project Execution Plan</w:t>
      </w:r>
    </w:p>
    <w:p>
      <w:r>
        <w:rPr>
          <w:color w:val="1FA2A6"/>
          <w:sz w:val="25"/>
        </w:rPr>
        <w:t>Millbrook Solar &amp; Storage</w:t>
      </w:r>
    </w:p>
    <w:p>
      <w:pPr>
        <w:pBdr>
          <w:bottom w:val="single" w:sz="12" w:space="6" w:color="1FA2A6"/>
        </w:pBdr>
      </w:pPr>
      <w:r>
        <w:rPr>
          <w:color w:val="4A5A68"/>
          <w:sz w:val="18"/>
        </w:rPr>
        <w:t>Liam McAllister  ·  20 January 2026  ·  MB-PM-PLN-0001</w:t>
      </w:r>
    </w:p>
    <w:p>
      <w:pPr>
        <w:pStyle w:val="Heading1"/>
      </w:pPr>
      <w:r>
        <w:t>1. Purpose and scope</w:t>
      </w:r>
    </w:p>
    <w:p>
      <w:r>
        <w:t xml:space="preserve">This Project Execution Plan (PEP) sets out how Weyland Energy will take </w:t>
      </w:r>
      <w:r>
        <w:rPr>
          <w:b/>
        </w:rPr>
        <w:t>Millbrook Solar &amp; Storage</w:t>
      </w:r>
      <w:r>
        <w:t xml:space="preserve"> from planning through to financial close and the start of construction. It covers the 85 MWp ground-mounted solar farm on single-axis trackers, the co-located 20 MW / 40 MWh battery energy storage system (BESS) and the 3.8 km 132 kV cable route to the Millbrook 132 kV substation operated by NordGrid Transmission. The site covers 142 ha of former arable farmland north of Millbrook village.</w:t>
      </w:r>
    </w:p>
    <w:p>
      <w:r>
        <w:t>The PEP is a living document. It is owned by the Project Manager and reviewed at every Project Board. Changes to scope, budget or key dates above the tolerances in section 6 need Project Board approval and, where they affect the investment case, Investment Committee approval.</w:t>
      </w:r>
    </w:p>
    <w:p>
      <w:pPr>
        <w:pStyle w:val="Heading1"/>
      </w:pPr>
      <w:r>
        <w:t>2. Project summary</w:t>
      </w:r>
    </w:p>
    <w:tbl>
      <w:tblPr>
        <w:tblStyle w:val="TableGrid"/>
        <w:tblW w:type="auto" w:w="0"/>
        <w:jc w:val="center"/>
        <w:tblLook w:firstColumn="1" w:firstRow="1" w:lastColumn="0" w:lastRow="0" w:noHBand="0" w:noVBand="1" w:val="04A0"/>
      </w:tblPr>
      <w:tblGrid>
        <w:gridCol w:w="4706"/>
        <w:gridCol w:w="4706"/>
      </w:tblGrid>
      <w:tr>
        <w:tc>
          <w:tcPr>
            <w:tcW w:type="dxa" w:w="3137"/>
            <w:shd w:val="clear" w:color="auto" w:fill="0B3C5D"/>
          </w:tcPr>
          <w:p>
            <w:r/>
            <w:r>
              <w:rPr>
                <w:b/>
                <w:color w:val="FFFFFF"/>
                <w:sz w:val="18"/>
              </w:rPr>
              <w:t>Item</w:t>
            </w:r>
          </w:p>
        </w:tc>
        <w:tc>
          <w:tcPr>
            <w:tcW w:type="dxa" w:w="6274"/>
            <w:shd w:val="clear" w:color="auto" w:fill="0B3C5D"/>
          </w:tcPr>
          <w:p>
            <w:r/>
            <w:r>
              <w:rPr>
                <w:b/>
                <w:color w:val="FFFFFF"/>
                <w:sz w:val="18"/>
              </w:rPr>
              <w:t>Value</w:t>
            </w:r>
          </w:p>
        </w:tc>
      </w:tr>
      <w:tr>
        <w:tc>
          <w:tcPr>
            <w:tcW w:type="dxa" w:w="3137"/>
          </w:tcPr>
          <w:p>
            <w:r/>
            <w:r>
              <w:rPr>
                <w:sz w:val="18"/>
              </w:rPr>
              <w:t>Installed capacity</w:t>
            </w:r>
          </w:p>
        </w:tc>
        <w:tc>
          <w:tcPr>
            <w:tcW w:type="dxa" w:w="6274"/>
          </w:tcPr>
          <w:p>
            <w:r/>
            <w:r>
              <w:rPr>
                <w:sz w:val="18"/>
              </w:rPr>
              <w:t>85 MWp DC / 68.4 MWac</w:t>
            </w:r>
          </w:p>
        </w:tc>
      </w:tr>
      <w:tr>
        <w:tc>
          <w:tcPr>
            <w:tcW w:type="dxa" w:w="3137"/>
            <w:shd w:val="clear" w:color="auto" w:fill="EEF3F6"/>
          </w:tcPr>
          <w:p>
            <w:r/>
            <w:r>
              <w:rPr>
                <w:sz w:val="18"/>
              </w:rPr>
              <w:t>Export limit (connection offer)</w:t>
            </w:r>
          </w:p>
        </w:tc>
        <w:tc>
          <w:tcPr>
            <w:tcW w:type="dxa" w:w="6274"/>
            <w:shd w:val="clear" w:color="auto" w:fill="EEF3F6"/>
          </w:tcPr>
          <w:p>
            <w:r/>
            <w:r>
              <w:rPr>
                <w:sz w:val="18"/>
              </w:rPr>
              <w:t>70 MW at Millbrook 132 kV substation</w:t>
            </w:r>
          </w:p>
        </w:tc>
      </w:tr>
      <w:tr>
        <w:tc>
          <w:tcPr>
            <w:tcW w:type="dxa" w:w="3137"/>
          </w:tcPr>
          <w:p>
            <w:r/>
            <w:r>
              <w:rPr>
                <w:sz w:val="18"/>
              </w:rPr>
              <w:t>Battery storage</w:t>
            </w:r>
          </w:p>
        </w:tc>
        <w:tc>
          <w:tcPr>
            <w:tcW w:type="dxa" w:w="6274"/>
          </w:tcPr>
          <w:p>
            <w:r/>
            <w:r>
              <w:rPr>
                <w:sz w:val="18"/>
              </w:rPr>
              <w:t>20 MW / 40 MWh battery energy storage system (BESS)</w:t>
            </w:r>
          </w:p>
        </w:tc>
      </w:tr>
      <w:tr>
        <w:tc>
          <w:tcPr>
            <w:tcW w:type="dxa" w:w="3137"/>
            <w:shd w:val="clear" w:color="auto" w:fill="EEF3F6"/>
          </w:tcPr>
          <w:p>
            <w:r/>
            <w:r>
              <w:rPr>
                <w:sz w:val="18"/>
              </w:rPr>
              <w:t>Modules</w:t>
            </w:r>
          </w:p>
        </w:tc>
        <w:tc>
          <w:tcPr>
            <w:tcW w:type="dxa" w:w="6274"/>
            <w:shd w:val="clear" w:color="auto" w:fill="EEF3F6"/>
          </w:tcPr>
          <w:p>
            <w:r/>
            <w:r>
              <w:rPr>
                <w:sz w:val="18"/>
              </w:rPr>
              <w:t>~ 158,000 bifacial modules on single-axis trackers</w:t>
            </w:r>
          </w:p>
        </w:tc>
      </w:tr>
      <w:tr>
        <w:tc>
          <w:tcPr>
            <w:tcW w:type="dxa" w:w="3137"/>
          </w:tcPr>
          <w:p>
            <w:r/>
            <w:r>
              <w:rPr>
                <w:sz w:val="18"/>
              </w:rPr>
              <w:t>Expected generation</w:t>
            </w:r>
          </w:p>
        </w:tc>
        <w:tc>
          <w:tcPr>
            <w:tcW w:type="dxa" w:w="6274"/>
          </w:tcPr>
          <w:p>
            <w:r/>
            <w:r>
              <w:rPr>
                <w:sz w:val="18"/>
              </w:rPr>
              <w:t>91.3 GWh per year (P50), ~ 26,000 homes</w:t>
            </w:r>
          </w:p>
        </w:tc>
      </w:tr>
      <w:tr>
        <w:tc>
          <w:tcPr>
            <w:tcW w:type="dxa" w:w="3137"/>
            <w:shd w:val="clear" w:color="auto" w:fill="EEF3F6"/>
          </w:tcPr>
          <w:p>
            <w:r/>
            <w:r>
              <w:rPr>
                <w:sz w:val="18"/>
              </w:rPr>
              <w:t>Site area</w:t>
            </w:r>
          </w:p>
        </w:tc>
        <w:tc>
          <w:tcPr>
            <w:tcW w:type="dxa" w:w="6274"/>
            <w:shd w:val="clear" w:color="auto" w:fill="EEF3F6"/>
          </w:tcPr>
          <w:p>
            <w:r/>
            <w:r>
              <w:rPr>
                <w:sz w:val="18"/>
              </w:rPr>
              <w:t>142 ha (leased, 40 years, lease signed 18 Nov 2025)</w:t>
            </w:r>
          </w:p>
        </w:tc>
      </w:tr>
      <w:tr>
        <w:tc>
          <w:tcPr>
            <w:tcW w:type="dxa" w:w="3137"/>
          </w:tcPr>
          <w:p>
            <w:r/>
            <w:r>
              <w:rPr>
                <w:sz w:val="18"/>
              </w:rPr>
              <w:t>Planning reference</w:t>
            </w:r>
          </w:p>
        </w:tc>
        <w:tc>
          <w:tcPr>
            <w:tcW w:type="dxa" w:w="6274"/>
          </w:tcPr>
          <w:p>
            <w:r/>
            <w:r>
              <w:rPr>
                <w:sz w:val="18"/>
              </w:rPr>
              <w:t>MDC/2026/0412 – submitted 18 June 2026, decision expected Q1 2027</w:t>
            </w:r>
          </w:p>
        </w:tc>
      </w:tr>
      <w:tr>
        <w:tc>
          <w:tcPr>
            <w:tcW w:type="dxa" w:w="3137"/>
            <w:shd w:val="clear" w:color="auto" w:fill="EEF3F6"/>
          </w:tcPr>
          <w:p>
            <w:r/>
            <w:r>
              <w:rPr>
                <w:sz w:val="18"/>
              </w:rPr>
              <w:t>EPC</w:t>
            </w:r>
          </w:p>
        </w:tc>
        <w:tc>
          <w:tcPr>
            <w:tcW w:type="dxa" w:w="6274"/>
            <w:shd w:val="clear" w:color="auto" w:fill="EEF3F6"/>
          </w:tcPr>
          <w:p>
            <w:r/>
            <w:r>
              <w:rPr>
                <w:sz w:val="18"/>
              </w:rPr>
              <w:t>SunForge EPC Ltd (preferred bidder)</w:t>
            </w:r>
          </w:p>
        </w:tc>
      </w:tr>
      <w:tr>
        <w:tc>
          <w:tcPr>
            <w:tcW w:type="dxa" w:w="3137"/>
          </w:tcPr>
          <w:p>
            <w:r/>
            <w:r>
              <w:rPr>
                <w:sz w:val="18"/>
              </w:rPr>
              <w:t>Capex budget</w:t>
            </w:r>
          </w:p>
        </w:tc>
        <w:tc>
          <w:tcPr>
            <w:tcW w:type="dxa" w:w="6274"/>
          </w:tcPr>
          <w:p>
            <w:r/>
            <w:r>
              <w:rPr>
                <w:sz w:val="18"/>
              </w:rPr>
              <w:t>EUR 78 m (incl. EUR 4.4 m contingency)</w:t>
            </w:r>
          </w:p>
        </w:tc>
      </w:tr>
      <w:tr>
        <w:tc>
          <w:tcPr>
            <w:tcW w:type="dxa" w:w="3137"/>
            <w:shd w:val="clear" w:color="auto" w:fill="EEF3F6"/>
          </w:tcPr>
          <w:p>
            <w:r/>
            <w:r>
              <w:rPr>
                <w:sz w:val="18"/>
              </w:rPr>
              <w:t>Community fund</w:t>
            </w:r>
          </w:p>
        </w:tc>
        <w:tc>
          <w:tcPr>
            <w:tcW w:type="dxa" w:w="6274"/>
            <w:shd w:val="clear" w:color="auto" w:fill="EEF3F6"/>
          </w:tcPr>
          <w:p>
            <w:r/>
            <w:r>
              <w:rPr>
                <w:sz w:val="18"/>
              </w:rPr>
              <w:t>EUR 120,000 per year for the operating life</w:t>
            </w:r>
          </w:p>
        </w:tc>
      </w:tr>
    </w:tbl>
    <w:p/>
    <w:p>
      <w:pPr>
        <w:pStyle w:val="Heading1"/>
      </w:pPr>
      <w:r>
        <w:t>3. Organisation</w:t>
      </w:r>
    </w:p>
    <w:p>
      <w:pPr>
        <w:pStyle w:val="Heading1"/>
      </w:pPr>
      <w:r>
        <w:t>4. Key milestones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0B3C5D"/>
          </w:tcPr>
          <w:p>
            <w:r/>
            <w:r>
              <w:rPr>
                <w:b/>
                <w:color w:val="FFFFFF"/>
                <w:sz w:val="18"/>
              </w:rPr>
              <w:t>Milestone</w:t>
            </w:r>
          </w:p>
        </w:tc>
        <w:tc>
          <w:tcPr>
            <w:tcW w:type="dxa" w:w="3137"/>
            <w:shd w:val="clear" w:color="auto" w:fill="0B3C5D"/>
          </w:tcPr>
          <w:p>
            <w:r/>
            <w:r>
              <w:rPr>
                <w:b/>
                <w:color w:val="FFFFFF"/>
                <w:sz w:val="18"/>
              </w:rPr>
              <w:t>Date</w:t>
            </w:r>
          </w:p>
        </w:tc>
        <w:tc>
          <w:tcPr>
            <w:tcW w:type="dxa" w:w="3137"/>
            <w:shd w:val="clear" w:color="auto" w:fill="0B3C5D"/>
          </w:tcPr>
          <w:p>
            <w:r/>
            <w:r>
              <w:rPr>
                <w:b/>
                <w:color w:val="FFFFFF"/>
                <w:sz w:val="18"/>
              </w:rPr>
              <w:t>Status</w:t>
            </w:r>
          </w:p>
        </w:tc>
      </w:tr>
      <w:tr>
        <w:tc>
          <w:tcPr>
            <w:tcW w:type="dxa" w:w="3137"/>
          </w:tcPr>
          <w:p>
            <w:r/>
            <w:r>
              <w:rPr>
                <w:sz w:val="18"/>
              </w:rPr>
              <w:t>Land lease signed</w:t>
            </w:r>
          </w:p>
        </w:tc>
        <w:tc>
          <w:tcPr>
            <w:tcW w:type="dxa" w:w="3137"/>
          </w:tcPr>
          <w:p>
            <w:r/>
            <w:r>
              <w:rPr>
                <w:sz w:val="18"/>
              </w:rPr>
              <w:t>18 Nov 2025</w:t>
            </w:r>
          </w:p>
        </w:tc>
        <w:tc>
          <w:tcPr>
            <w:tcW w:type="dxa" w:w="3137"/>
          </w:tcPr>
          <w:p>
            <w:r/>
            <w:r>
              <w:rPr>
                <w:sz w:val="18"/>
              </w:rPr>
              <w:t>Complete</w:t>
            </w:r>
          </w:p>
        </w:tc>
      </w:tr>
      <w:tr>
        <w:tc>
          <w:tcPr>
            <w:tcW w:type="dxa" w:w="3137"/>
            <w:shd w:val="clear" w:color="auto" w:fill="EEF3F6"/>
          </w:tcPr>
          <w:p>
            <w:r/>
            <w:r>
              <w:rPr>
                <w:sz w:val="18"/>
              </w:rPr>
              <w:t>Public consultation #1</w:t>
            </w:r>
          </w:p>
        </w:tc>
        <w:tc>
          <w:tcPr>
            <w:tcW w:type="dxa" w:w="3137"/>
            <w:shd w:val="clear" w:color="auto" w:fill="EEF3F6"/>
          </w:tcPr>
          <w:p>
            <w:r/>
            <w:r>
              <w:rPr>
                <w:sz w:val="18"/>
              </w:rPr>
              <w:t>11 Mar 2026</w:t>
            </w:r>
          </w:p>
        </w:tc>
        <w:tc>
          <w:tcPr>
            <w:tcW w:type="dxa" w:w="3137"/>
            <w:shd w:val="clear" w:color="auto" w:fill="EEF3F6"/>
          </w:tcPr>
          <w:p>
            <w:r/>
            <w:r>
              <w:rPr>
                <w:sz w:val="18"/>
              </w:rPr>
              <w:t>Planned</w:t>
            </w:r>
          </w:p>
        </w:tc>
      </w:tr>
      <w:tr>
        <w:tc>
          <w:tcPr>
            <w:tcW w:type="dxa" w:w="3137"/>
          </w:tcPr>
          <w:p>
            <w:r/>
            <w:r>
              <w:rPr>
                <w:sz w:val="18"/>
              </w:rPr>
              <w:t>Public consultation #2</w:t>
            </w:r>
          </w:p>
        </w:tc>
        <w:tc>
          <w:tcPr>
            <w:tcW w:type="dxa" w:w="3137"/>
          </w:tcPr>
          <w:p>
            <w:r/>
            <w:r>
              <w:rPr>
                <w:sz w:val="18"/>
              </w:rPr>
              <w:t>May 2026</w:t>
            </w:r>
          </w:p>
        </w:tc>
        <w:tc>
          <w:tcPr>
            <w:tcW w:type="dxa" w:w="3137"/>
          </w:tcPr>
          <w:p>
            <w:r/>
            <w:r>
              <w:rPr>
                <w:sz w:val="18"/>
              </w:rPr>
              <w:t>Planned</w:t>
            </w:r>
          </w:p>
        </w:tc>
      </w:tr>
      <w:tr>
        <w:tc>
          <w:tcPr>
            <w:tcW w:type="dxa" w:w="3137"/>
            <w:shd w:val="clear" w:color="auto" w:fill="EEF3F6"/>
          </w:tcPr>
          <w:p>
            <w:r/>
            <w:r>
              <w:rPr>
                <w:sz w:val="18"/>
              </w:rPr>
              <w:t>Planning application submitted</w:t>
            </w:r>
          </w:p>
        </w:tc>
        <w:tc>
          <w:tcPr>
            <w:tcW w:type="dxa" w:w="3137"/>
            <w:shd w:val="clear" w:color="auto" w:fill="EEF3F6"/>
          </w:tcPr>
          <w:p>
            <w:r/>
            <w:r>
              <w:rPr>
                <w:sz w:val="18"/>
              </w:rPr>
              <w:t>June 2026</w:t>
            </w:r>
          </w:p>
        </w:tc>
        <w:tc>
          <w:tcPr>
            <w:tcW w:type="dxa" w:w="3137"/>
            <w:shd w:val="clear" w:color="auto" w:fill="EEF3F6"/>
          </w:tcPr>
          <w:p>
            <w:r/>
            <w:r>
              <w:rPr>
                <w:sz w:val="18"/>
              </w:rPr>
              <w:t>Planned</w:t>
            </w:r>
          </w:p>
        </w:tc>
      </w:tr>
      <w:tr>
        <w:tc>
          <w:tcPr>
            <w:tcW w:type="dxa" w:w="3137"/>
          </w:tcPr>
          <w:p>
            <w:r/>
            <w:r>
              <w:rPr>
                <w:sz w:val="18"/>
              </w:rPr>
              <w:t>Planning decision</w:t>
            </w:r>
          </w:p>
        </w:tc>
        <w:tc>
          <w:tcPr>
            <w:tcW w:type="dxa" w:w="3137"/>
          </w:tcPr>
          <w:p>
            <w:r/>
            <w:r>
              <w:rPr>
                <w:sz w:val="18"/>
              </w:rPr>
              <w:t>Q4 2026</w:t>
            </w:r>
          </w:p>
        </w:tc>
        <w:tc>
          <w:tcPr>
            <w:tcW w:type="dxa" w:w="3137"/>
          </w:tcPr>
          <w:p>
            <w:r/>
            <w:r>
              <w:rPr>
                <w:sz w:val="18"/>
              </w:rPr>
              <w:t>Planned</w:t>
            </w:r>
          </w:p>
        </w:tc>
      </w:tr>
      <w:tr>
        <w:tc>
          <w:tcPr>
            <w:tcW w:type="dxa" w:w="3137"/>
            <w:shd w:val="clear" w:color="auto" w:fill="EEF3F6"/>
          </w:tcPr>
          <w:p>
            <w:r/>
            <w:r>
              <w:rPr>
                <w:sz w:val="18"/>
              </w:rPr>
              <w:t>Financial close</w:t>
            </w:r>
          </w:p>
        </w:tc>
        <w:tc>
          <w:tcPr>
            <w:tcW w:type="dxa" w:w="3137"/>
            <w:shd w:val="clear" w:color="auto" w:fill="EEF3F6"/>
          </w:tcPr>
          <w:p>
            <w:r/>
            <w:r>
              <w:rPr>
                <w:sz w:val="18"/>
              </w:rPr>
              <w:t>Q2 2027</w:t>
            </w:r>
          </w:p>
        </w:tc>
        <w:tc>
          <w:tcPr>
            <w:tcW w:type="dxa" w:w="3137"/>
            <w:shd w:val="clear" w:color="auto" w:fill="EEF3F6"/>
          </w:tcPr>
          <w:p>
            <w:r/>
            <w:r>
              <w:rPr>
                <w:sz w:val="18"/>
              </w:rPr>
              <w:t>Planned</w:t>
            </w:r>
          </w:p>
        </w:tc>
      </w:tr>
    </w:tbl>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Project Execution Plan  ·  MB-PM-PLN-0001</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Execution Plan</dc:title>
  <dc:subject>Millbrook Solar &amp; Storage</dc:subject>
  <dc:creator>Liam McAllister</dc:creator>
  <cp:keywords>approved</cp:keywords>
  <dc:description>generated by python-docx</dc:description>
  <cp:lastModifiedBy>Liam McAllister</cp:lastModifiedBy>
  <cp:revision>1</cp:revision>
  <dcterms:created xsi:type="dcterms:W3CDTF">2025-12-08T10:00:00Z</dcterms:created>
  <dcterms:modified xsi:type="dcterms:W3CDTF">2026-01-20T10:00:00Z</dcterms:modified>
  <cp:category/>
</cp:coreProperties>
</file>