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Millbrook Solar &amp; Storage</w:t>
      </w:r>
    </w:p>
    <w:p>
      <w:pPr>
        <w:pBdr>
          <w:bottom w:val="single" w:sz="12" w:space="6" w:color="1FA2A6"/>
        </w:pBdr>
      </w:pPr>
      <w:r>
        <w:rPr>
          <w:color w:val="4A5A68"/>
          <w:sz w:val="18"/>
        </w:rPr>
        <w:t>Liam McAllister  ·  22 April 2026  ·  MB-PM-PLN-0001</w:t>
      </w:r>
    </w:p>
    <w:p>
      <w:pPr>
        <w:pStyle w:val="Heading1"/>
      </w:pPr>
      <w:r>
        <w:t>1. Purpose and scope</w:t>
      </w:r>
    </w:p>
    <w:p>
      <w:r>
        <w:t xml:space="preserve">This Project Execution Plan (PEP) sets out how Weyland Energy will take </w:t>
      </w:r>
      <w:r>
        <w:rPr>
          <w:b/>
        </w:rPr>
        <w:t>Millbrook Solar &amp; Storage</w:t>
      </w:r>
      <w:r>
        <w:t xml:space="preserve"> from planning through to financial close and the start of construction. It covers the 85 MWp ground-mounted solar farm on single-axis trackers, the co-located 20 MW / 40 MWh battery energy storage system (BESS) and the 3.8 km 132 kV cable route to the Millbrook 132 kV substation operated by NordGrid Transmission. The site covers 142 ha of former arable farmland north of Millbrook village.</w:t>
      </w:r>
    </w:p>
    <w:p>
      <w:r>
        <w:t>The PEP is a living document. It is owned by the Project Manager and reviewed at every Project Board. Changes to scope, budget or key dates above the tolerances in section 6 need Project Board approval and, where they affect the investment case, Investment Committee approval.</w:t>
      </w:r>
    </w:p>
    <w:p>
      <w:pPr>
        <w:pStyle w:val="Heading1"/>
      </w:pPr>
      <w:r>
        <w:t>2. Project summary</w:t>
      </w:r>
    </w:p>
    <w:tbl>
      <w:tblPr>
        <w:tblStyle w:val="TableGrid"/>
        <w:tblW w:type="auto" w:w="0"/>
        <w:jc w:val="center"/>
        <w:tblLook w:firstColumn="1" w:firstRow="1" w:lastColumn="0" w:lastRow="0" w:noHBand="0" w:noVBand="1" w:val="04A0"/>
      </w:tblPr>
      <w:tblGrid>
        <w:gridCol w:w="4706"/>
        <w:gridCol w:w="4706"/>
      </w:tblGrid>
      <w:tr>
        <w:tc>
          <w:tcPr>
            <w:tcW w:type="dxa" w:w="3137"/>
            <w:shd w:val="clear" w:color="auto" w:fill="0B3C5D"/>
          </w:tcPr>
          <w:p>
            <w:r/>
            <w:r>
              <w:rPr>
                <w:b/>
                <w:color w:val="FFFFFF"/>
                <w:sz w:val="18"/>
              </w:rPr>
              <w:t>Item</w:t>
            </w:r>
          </w:p>
        </w:tc>
        <w:tc>
          <w:tcPr>
            <w:tcW w:type="dxa" w:w="6274"/>
            <w:shd w:val="clear" w:color="auto" w:fill="0B3C5D"/>
          </w:tcPr>
          <w:p>
            <w:r/>
            <w:r>
              <w:rPr>
                <w:b/>
                <w:color w:val="FFFFFF"/>
                <w:sz w:val="18"/>
              </w:rPr>
              <w:t>Value</w:t>
            </w:r>
          </w:p>
        </w:tc>
      </w:tr>
      <w:tr>
        <w:tc>
          <w:tcPr>
            <w:tcW w:type="dxa" w:w="3137"/>
          </w:tcPr>
          <w:p>
            <w:r/>
            <w:r>
              <w:rPr>
                <w:sz w:val="18"/>
              </w:rPr>
              <w:t>Installed capacity</w:t>
            </w:r>
          </w:p>
        </w:tc>
        <w:tc>
          <w:tcPr>
            <w:tcW w:type="dxa" w:w="6274"/>
          </w:tcPr>
          <w:p>
            <w:r/>
            <w:r>
              <w:rPr>
                <w:sz w:val="18"/>
              </w:rPr>
              <w:t>85 MWp DC / 68.4 MWac</w:t>
            </w:r>
          </w:p>
        </w:tc>
      </w:tr>
      <w:tr>
        <w:tc>
          <w:tcPr>
            <w:tcW w:type="dxa" w:w="3137"/>
            <w:shd w:val="clear" w:color="auto" w:fill="EEF3F6"/>
          </w:tcPr>
          <w:p>
            <w:r/>
            <w:r>
              <w:rPr>
                <w:sz w:val="18"/>
              </w:rPr>
              <w:t>Export limit (connection offer)</w:t>
            </w:r>
          </w:p>
        </w:tc>
        <w:tc>
          <w:tcPr>
            <w:tcW w:type="dxa" w:w="6274"/>
            <w:shd w:val="clear" w:color="auto" w:fill="EEF3F6"/>
          </w:tcPr>
          <w:p>
            <w:r/>
            <w:r>
              <w:rPr>
                <w:sz w:val="18"/>
              </w:rPr>
              <w:t>70 MW at Millbrook 132 kV substation</w:t>
            </w:r>
          </w:p>
        </w:tc>
      </w:tr>
      <w:tr>
        <w:tc>
          <w:tcPr>
            <w:tcW w:type="dxa" w:w="3137"/>
          </w:tcPr>
          <w:p>
            <w:r/>
            <w:r>
              <w:rPr>
                <w:sz w:val="18"/>
              </w:rPr>
              <w:t>Battery storage</w:t>
            </w:r>
          </w:p>
        </w:tc>
        <w:tc>
          <w:tcPr>
            <w:tcW w:type="dxa" w:w="6274"/>
          </w:tcPr>
          <w:p>
            <w:r/>
            <w:r>
              <w:rPr>
                <w:sz w:val="18"/>
              </w:rPr>
              <w:t>20 MW / 40 MWh battery energy storage system (BESS)</w:t>
            </w:r>
          </w:p>
        </w:tc>
      </w:tr>
      <w:tr>
        <w:tc>
          <w:tcPr>
            <w:tcW w:type="dxa" w:w="3137"/>
            <w:shd w:val="clear" w:color="auto" w:fill="EEF3F6"/>
          </w:tcPr>
          <w:p>
            <w:r/>
            <w:r>
              <w:rPr>
                <w:sz w:val="18"/>
              </w:rPr>
              <w:t>Modules</w:t>
            </w:r>
          </w:p>
        </w:tc>
        <w:tc>
          <w:tcPr>
            <w:tcW w:type="dxa" w:w="6274"/>
            <w:shd w:val="clear" w:color="auto" w:fill="EEF3F6"/>
          </w:tcPr>
          <w:p>
            <w:r/>
            <w:r>
              <w:rPr>
                <w:sz w:val="18"/>
              </w:rPr>
              <w:t>~ 158,000 bifacial modules on single-axis trackers</w:t>
            </w:r>
          </w:p>
        </w:tc>
      </w:tr>
      <w:tr>
        <w:tc>
          <w:tcPr>
            <w:tcW w:type="dxa" w:w="3137"/>
          </w:tcPr>
          <w:p>
            <w:r/>
            <w:r>
              <w:rPr>
                <w:sz w:val="18"/>
              </w:rPr>
              <w:t>Expected generation</w:t>
            </w:r>
          </w:p>
        </w:tc>
        <w:tc>
          <w:tcPr>
            <w:tcW w:type="dxa" w:w="6274"/>
          </w:tcPr>
          <w:p>
            <w:r/>
            <w:r>
              <w:rPr>
                <w:sz w:val="18"/>
              </w:rPr>
              <w:t>91.3 GWh per year (P50), ~ 26,000 homes</w:t>
            </w:r>
          </w:p>
        </w:tc>
      </w:tr>
      <w:tr>
        <w:tc>
          <w:tcPr>
            <w:tcW w:type="dxa" w:w="3137"/>
            <w:shd w:val="clear" w:color="auto" w:fill="EEF3F6"/>
          </w:tcPr>
          <w:p>
            <w:r/>
            <w:r>
              <w:rPr>
                <w:sz w:val="18"/>
              </w:rPr>
              <w:t>Site area</w:t>
            </w:r>
          </w:p>
        </w:tc>
        <w:tc>
          <w:tcPr>
            <w:tcW w:type="dxa" w:w="6274"/>
            <w:shd w:val="clear" w:color="auto" w:fill="EEF3F6"/>
          </w:tcPr>
          <w:p>
            <w:r/>
            <w:r>
              <w:rPr>
                <w:sz w:val="18"/>
              </w:rPr>
              <w:t>142 ha (leased, 40 years, lease signed 18 Nov 2025)</w:t>
            </w:r>
          </w:p>
        </w:tc>
      </w:tr>
      <w:tr>
        <w:tc>
          <w:tcPr>
            <w:tcW w:type="dxa" w:w="3137"/>
          </w:tcPr>
          <w:p>
            <w:r/>
            <w:r>
              <w:rPr>
                <w:sz w:val="18"/>
              </w:rPr>
              <w:t>Planning reference</w:t>
            </w:r>
          </w:p>
        </w:tc>
        <w:tc>
          <w:tcPr>
            <w:tcW w:type="dxa" w:w="6274"/>
          </w:tcPr>
          <w:p>
            <w:r/>
            <w:r>
              <w:rPr>
                <w:sz w:val="18"/>
              </w:rPr>
              <w:t>MDC/2026/0412 – submitted 18 June 2026, decision expected Q1 2027</w:t>
            </w:r>
          </w:p>
        </w:tc>
      </w:tr>
      <w:tr>
        <w:tc>
          <w:tcPr>
            <w:tcW w:type="dxa" w:w="3137"/>
            <w:shd w:val="clear" w:color="auto" w:fill="EEF3F6"/>
          </w:tcPr>
          <w:p>
            <w:r/>
            <w:r>
              <w:rPr>
                <w:sz w:val="18"/>
              </w:rPr>
              <w:t>EPC</w:t>
            </w:r>
          </w:p>
        </w:tc>
        <w:tc>
          <w:tcPr>
            <w:tcW w:type="dxa" w:w="6274"/>
            <w:shd w:val="clear" w:color="auto" w:fill="EEF3F6"/>
          </w:tcPr>
          <w:p>
            <w:r/>
            <w:r>
              <w:rPr>
                <w:sz w:val="18"/>
              </w:rPr>
              <w:t>SunForge EPC Ltd (preferred bidder)</w:t>
            </w:r>
          </w:p>
        </w:tc>
      </w:tr>
      <w:tr>
        <w:tc>
          <w:tcPr>
            <w:tcW w:type="dxa" w:w="3137"/>
          </w:tcPr>
          <w:p>
            <w:r/>
            <w:r>
              <w:rPr>
                <w:sz w:val="18"/>
              </w:rPr>
              <w:t>Capex budget</w:t>
            </w:r>
          </w:p>
        </w:tc>
        <w:tc>
          <w:tcPr>
            <w:tcW w:type="dxa" w:w="6274"/>
          </w:tcPr>
          <w:p>
            <w:r/>
            <w:r>
              <w:rPr>
                <w:sz w:val="18"/>
              </w:rPr>
              <w:t>EUR 78 m (incl. EUR 4.4 m contingency)</w:t>
            </w:r>
          </w:p>
        </w:tc>
      </w:tr>
      <w:tr>
        <w:tc>
          <w:tcPr>
            <w:tcW w:type="dxa" w:w="3137"/>
            <w:shd w:val="clear" w:color="auto" w:fill="EEF3F6"/>
          </w:tcPr>
          <w:p>
            <w:r/>
            <w:r>
              <w:rPr>
                <w:sz w:val="18"/>
              </w:rPr>
              <w:t>Community fund</w:t>
            </w:r>
          </w:p>
        </w:tc>
        <w:tc>
          <w:tcPr>
            <w:tcW w:type="dxa" w:w="6274"/>
            <w:shd w:val="clear" w:color="auto" w:fill="EEF3F6"/>
          </w:tcPr>
          <w:p>
            <w:r/>
            <w:r>
              <w:rPr>
                <w:sz w:val="18"/>
              </w:rPr>
              <w:t>EUR 120,000 per year for the operating life</w:t>
            </w:r>
          </w:p>
        </w:tc>
      </w:tr>
    </w:tbl>
    <w:p/>
    <w:p>
      <w:pPr>
        <w:pStyle w:val="Heading1"/>
      </w:pPr>
      <w:r>
        <w:t>3. Organisation</w:t>
      </w:r>
    </w:p>
    <w:p>
      <w:r>
        <w:t>The project is led by Liam McAllister (Project Manager) and sponsored by Dr. Amara Okafor (CEO). Engineering support comes from Sofie Lindqvist's team, with Mei Tanaka as lead electrical engineer for the grid and BESS design. Community engagement is led by Tom Berger with Grace Mitchell as Community Liaison Officer on the ground. Land and contracts sit with Priya Nair and Lukas Meyer; Charlotte Dubois (Permitting Manager) and Ahmed Rahimi (Grid Connection Specialist) support from the Grid &amp; Permits team.</w:t>
      </w:r>
    </w:p>
    <w:tbl>
      <w:tblPr>
        <w:tblStyle w:val="TableGrid"/>
        <w:tblW w:type="auto" w:w="0"/>
        <w:jc w:val="center"/>
        <w:tblLook w:firstColumn="1" w:firstRow="1" w:lastColumn="0" w:lastRow="0" w:noHBand="0" w:noVBand="1" w:val="04A0"/>
      </w:tblPr>
      <w:tblGrid>
        <w:gridCol w:w="3137"/>
        <w:gridCol w:w="3137"/>
        <w:gridCol w:w="3137"/>
      </w:tblGrid>
      <w:tr>
        <w:tc>
          <w:tcPr>
            <w:tcW w:type="dxa" w:w="2353"/>
            <w:shd w:val="clear" w:color="auto" w:fill="0B3C5D"/>
          </w:tcPr>
          <w:p>
            <w:r/>
            <w:r>
              <w:rPr>
                <w:b/>
                <w:color w:val="FFFFFF"/>
                <w:sz w:val="18"/>
              </w:rPr>
              <w:t>Role</w:t>
            </w:r>
          </w:p>
        </w:tc>
        <w:tc>
          <w:tcPr>
            <w:tcW w:type="dxa" w:w="2353"/>
            <w:shd w:val="clear" w:color="auto" w:fill="0B3C5D"/>
          </w:tcPr>
          <w:p>
            <w:r/>
            <w:r>
              <w:rPr>
                <w:b/>
                <w:color w:val="FFFFFF"/>
                <w:sz w:val="18"/>
              </w:rPr>
              <w:t>Name</w:t>
            </w:r>
          </w:p>
        </w:tc>
        <w:tc>
          <w:tcPr>
            <w:tcW w:type="dxa" w:w="4706"/>
            <w:shd w:val="clear" w:color="auto" w:fill="0B3C5D"/>
          </w:tcPr>
          <w:p>
            <w:r/>
            <w:r>
              <w:rPr>
                <w:b/>
                <w:color w:val="FFFFFF"/>
                <w:sz w:val="18"/>
              </w:rPr>
              <w:t>Responsibility</w:t>
            </w:r>
          </w:p>
        </w:tc>
      </w:tr>
      <w:tr>
        <w:tc>
          <w:tcPr>
            <w:tcW w:type="dxa" w:w="2353"/>
          </w:tcPr>
          <w:p>
            <w:r/>
            <w:r>
              <w:rPr>
                <w:sz w:val="18"/>
              </w:rPr>
              <w:t>Project Sponsor</w:t>
            </w:r>
          </w:p>
        </w:tc>
        <w:tc>
          <w:tcPr>
            <w:tcW w:type="dxa" w:w="2353"/>
          </w:tcPr>
          <w:p>
            <w:r/>
            <w:r>
              <w:rPr>
                <w:sz w:val="18"/>
              </w:rPr>
              <w:t>Dr. Amara Okafor</w:t>
            </w:r>
          </w:p>
        </w:tc>
        <w:tc>
          <w:tcPr>
            <w:tcW w:type="dxa" w:w="4706"/>
          </w:tcPr>
          <w:p>
            <w:r/>
            <w:r>
              <w:rPr>
                <w:sz w:val="18"/>
              </w:rPr>
              <w:t>Investment case, Board reporting</w:t>
            </w:r>
          </w:p>
        </w:tc>
      </w:tr>
      <w:tr>
        <w:tc>
          <w:tcPr>
            <w:tcW w:type="dxa" w:w="2353"/>
            <w:shd w:val="clear" w:color="auto" w:fill="EEF3F6"/>
          </w:tcPr>
          <w:p>
            <w:r/>
            <w:r>
              <w:rPr>
                <w:sz w:val="18"/>
              </w:rPr>
              <w:t>Project Manager</w:t>
            </w:r>
          </w:p>
        </w:tc>
        <w:tc>
          <w:tcPr>
            <w:tcW w:type="dxa" w:w="2353"/>
            <w:shd w:val="clear" w:color="auto" w:fill="EEF3F6"/>
          </w:tcPr>
          <w:p>
            <w:r/>
            <w:r>
              <w:rPr>
                <w:sz w:val="18"/>
              </w:rPr>
              <w:t>Liam McAllister</w:t>
            </w:r>
          </w:p>
        </w:tc>
        <w:tc>
          <w:tcPr>
            <w:tcW w:type="dxa" w:w="4706"/>
            <w:shd w:val="clear" w:color="auto" w:fill="EEF3F6"/>
          </w:tcPr>
          <w:p>
            <w:r/>
            <w:r>
              <w:rPr>
                <w:sz w:val="18"/>
              </w:rPr>
              <w:t>Delivery, budget, schedule, planning strategy</w:t>
            </w:r>
          </w:p>
        </w:tc>
      </w:tr>
      <w:tr>
        <w:tc>
          <w:tcPr>
            <w:tcW w:type="dxa" w:w="2353"/>
          </w:tcPr>
          <w:p>
            <w:r/>
            <w:r>
              <w:rPr>
                <w:sz w:val="18"/>
              </w:rPr>
              <w:t>Engineering Lead</w:t>
            </w:r>
          </w:p>
        </w:tc>
        <w:tc>
          <w:tcPr>
            <w:tcW w:type="dxa" w:w="2353"/>
          </w:tcPr>
          <w:p>
            <w:r/>
            <w:r>
              <w:rPr>
                <w:sz w:val="18"/>
              </w:rPr>
              <w:t>Sofie Lindqvist</w:t>
            </w:r>
          </w:p>
        </w:tc>
        <w:tc>
          <w:tcPr>
            <w:tcW w:type="dxa" w:w="4706"/>
          </w:tcPr>
          <w:p>
            <w:r/>
            <w:r>
              <w:rPr>
                <w:sz w:val="18"/>
              </w:rPr>
              <w:t>Design basis, layout, technical due diligence</w:t>
            </w:r>
          </w:p>
        </w:tc>
      </w:tr>
      <w:tr>
        <w:tc>
          <w:tcPr>
            <w:tcW w:type="dxa" w:w="2353"/>
            <w:shd w:val="clear" w:color="auto" w:fill="EEF3F6"/>
          </w:tcPr>
          <w:p>
            <w:r/>
            <w:r>
              <w:rPr>
                <w:sz w:val="18"/>
              </w:rPr>
              <w:t>Lead Electrical Engineer</w:t>
            </w:r>
          </w:p>
        </w:tc>
        <w:tc>
          <w:tcPr>
            <w:tcW w:type="dxa" w:w="2353"/>
            <w:shd w:val="clear" w:color="auto" w:fill="EEF3F6"/>
          </w:tcPr>
          <w:p>
            <w:r/>
            <w:r>
              <w:rPr>
                <w:sz w:val="18"/>
              </w:rPr>
              <w:t>Mei Tanaka</w:t>
            </w:r>
          </w:p>
        </w:tc>
        <w:tc>
          <w:tcPr>
            <w:tcW w:type="dxa" w:w="4706"/>
            <w:shd w:val="clear" w:color="auto" w:fill="EEF3F6"/>
          </w:tcPr>
          <w:p>
            <w:r/>
            <w:r>
              <w:rPr>
                <w:sz w:val="18"/>
              </w:rPr>
              <w:t>Grid connection, BESS, single line diagram</w:t>
            </w:r>
          </w:p>
        </w:tc>
      </w:tr>
      <w:tr>
        <w:tc>
          <w:tcPr>
            <w:tcW w:type="dxa" w:w="2353"/>
          </w:tcPr>
          <w:p>
            <w:r/>
            <w:r>
              <w:rPr>
                <w:sz w:val="18"/>
              </w:rPr>
              <w:t>Community Engagement Lead</w:t>
            </w:r>
          </w:p>
        </w:tc>
        <w:tc>
          <w:tcPr>
            <w:tcW w:type="dxa" w:w="2353"/>
          </w:tcPr>
          <w:p>
            <w:r/>
            <w:r>
              <w:rPr>
                <w:sz w:val="18"/>
              </w:rPr>
              <w:t>Tom Berger</w:t>
            </w:r>
          </w:p>
        </w:tc>
        <w:tc>
          <w:tcPr>
            <w:tcW w:type="dxa" w:w="4706"/>
          </w:tcPr>
          <w:p>
            <w:r/>
            <w:r>
              <w:rPr>
                <w:sz w:val="18"/>
              </w:rPr>
              <w:t>Consultations, community fund, SCI</w:t>
            </w:r>
          </w:p>
        </w:tc>
      </w:tr>
      <w:tr>
        <w:tc>
          <w:tcPr>
            <w:tcW w:type="dxa" w:w="2353"/>
            <w:shd w:val="clear" w:color="auto" w:fill="EEF3F6"/>
          </w:tcPr>
          <w:p>
            <w:r/>
            <w:r>
              <w:rPr>
                <w:sz w:val="18"/>
              </w:rPr>
              <w:t>Permitting Manager</w:t>
            </w:r>
          </w:p>
        </w:tc>
        <w:tc>
          <w:tcPr>
            <w:tcW w:type="dxa" w:w="2353"/>
            <w:shd w:val="clear" w:color="auto" w:fill="EEF3F6"/>
          </w:tcPr>
          <w:p>
            <w:r/>
            <w:r>
              <w:rPr>
                <w:sz w:val="18"/>
              </w:rPr>
              <w:t>Charlotte Dubois</w:t>
            </w:r>
          </w:p>
        </w:tc>
        <w:tc>
          <w:tcPr>
            <w:tcW w:type="dxa" w:w="4706"/>
            <w:shd w:val="clear" w:color="auto" w:fill="EEF3F6"/>
          </w:tcPr>
          <w:p>
            <w:r/>
            <w:r>
              <w:rPr>
                <w:sz w:val="18"/>
              </w:rPr>
              <w:t>Planning application, conditions, consultees</w:t>
            </w:r>
          </w:p>
        </w:tc>
      </w:tr>
      <w:tr>
        <w:tc>
          <w:tcPr>
            <w:tcW w:type="dxa" w:w="2353"/>
          </w:tcPr>
          <w:p>
            <w:r/>
            <w:r>
              <w:rPr>
                <w:sz w:val="18"/>
              </w:rPr>
              <w:t>Legal</w:t>
            </w:r>
          </w:p>
        </w:tc>
        <w:tc>
          <w:tcPr>
            <w:tcW w:type="dxa" w:w="2353"/>
          </w:tcPr>
          <w:p>
            <w:r/>
            <w:r>
              <w:rPr>
                <w:sz w:val="18"/>
              </w:rPr>
              <w:t>Priya Nair</w:t>
            </w:r>
          </w:p>
        </w:tc>
        <w:tc>
          <w:tcPr>
            <w:tcW w:type="dxa" w:w="4706"/>
          </w:tcPr>
          <w:p>
            <w:r/>
            <w:r>
              <w:rPr>
                <w:sz w:val="18"/>
              </w:rPr>
              <w:t>Lease, EPC contract, grid agreements</w:t>
            </w:r>
          </w:p>
        </w:tc>
      </w:tr>
      <w:tr>
        <w:tc>
          <w:tcPr>
            <w:tcW w:type="dxa" w:w="2353"/>
            <w:shd w:val="clear" w:color="auto" w:fill="EEF3F6"/>
          </w:tcPr>
          <w:p>
            <w:r/>
            <w:r>
              <w:rPr>
                <w:sz w:val="18"/>
              </w:rPr>
              <w:t>Ecology (external)</w:t>
            </w:r>
          </w:p>
        </w:tc>
        <w:tc>
          <w:tcPr>
            <w:tcW w:type="dxa" w:w="2353"/>
            <w:shd w:val="clear" w:color="auto" w:fill="EEF3F6"/>
          </w:tcPr>
          <w:p>
            <w:r/>
            <w:r>
              <w:rPr>
                <w:sz w:val="18"/>
              </w:rPr>
              <w:t>Dr. Rachel Moss, Marlow Ecology</w:t>
            </w:r>
          </w:p>
        </w:tc>
        <w:tc>
          <w:tcPr>
            <w:tcW w:type="dxa" w:w="4706"/>
            <w:shd w:val="clear" w:color="auto" w:fill="EEF3F6"/>
          </w:tcPr>
          <w:p>
            <w:r/>
            <w:r>
              <w:rPr>
                <w:sz w:val="18"/>
              </w:rPr>
              <w:t>EcIA, skylark survey, BNG metric</w:t>
            </w:r>
          </w:p>
        </w:tc>
      </w:tr>
    </w:tbl>
    <w:p/>
    <w:p>
      <w:pPr>
        <w:pStyle w:val="Heading1"/>
      </w:pPr>
      <w:r>
        <w:t>4. Key milestones</w:t>
      </w:r>
    </w:p>
    <w:tbl>
      <w:tblPr>
        <w:tblStyle w:val="TableGrid"/>
        <w:tblW w:type="auto" w:w="0"/>
        <w:jc w:val="center"/>
        <w:tblLook w:firstColumn="1" w:firstRow="1" w:lastColumn="0" w:lastRow="0" w:noHBand="0" w:noVBand="1" w:val="04A0"/>
      </w:tblPr>
      <w:tblGrid>
        <w:gridCol w:w="3137"/>
        <w:gridCol w:w="3137"/>
        <w:gridCol w:w="3137"/>
      </w:tblGrid>
      <w:tr>
        <w:tc>
          <w:tcPr>
            <w:tcW w:type="dxa" w:w="5619"/>
            <w:shd w:val="clear" w:color="auto" w:fill="0B3C5D"/>
          </w:tcPr>
          <w:p>
            <w:r/>
            <w:r>
              <w:rPr>
                <w:b/>
                <w:color w:val="FFFFFF"/>
                <w:sz w:val="18"/>
              </w:rPr>
              <w:t>Milestone</w:t>
            </w:r>
          </w:p>
        </w:tc>
        <w:tc>
          <w:tcPr>
            <w:tcW w:type="dxa" w:w="2107"/>
            <w:shd w:val="clear" w:color="auto" w:fill="0B3C5D"/>
          </w:tcPr>
          <w:p>
            <w:r/>
            <w:r>
              <w:rPr>
                <w:b/>
                <w:color w:val="FFFFFF"/>
                <w:sz w:val="18"/>
              </w:rPr>
              <w:t>Date</w:t>
            </w:r>
          </w:p>
        </w:tc>
        <w:tc>
          <w:tcPr>
            <w:tcW w:type="dxa" w:w="1686"/>
            <w:shd w:val="clear" w:color="auto" w:fill="0B3C5D"/>
          </w:tcPr>
          <w:p>
            <w:r/>
            <w:r>
              <w:rPr>
                <w:b/>
                <w:color w:val="FFFFFF"/>
                <w:sz w:val="18"/>
              </w:rPr>
              <w:t>Status</w:t>
            </w:r>
          </w:p>
        </w:tc>
      </w:tr>
      <w:tr>
        <w:tc>
          <w:tcPr>
            <w:tcW w:type="dxa" w:w="5619"/>
          </w:tcPr>
          <w:p>
            <w:r/>
            <w:r>
              <w:rPr>
                <w:sz w:val="18"/>
              </w:rPr>
              <w:t>Land lease signed (Ashcombe Farm and Hollins Farm)</w:t>
            </w:r>
          </w:p>
        </w:tc>
        <w:tc>
          <w:tcPr>
            <w:tcW w:type="dxa" w:w="2107"/>
          </w:tcPr>
          <w:p>
            <w:r/>
            <w:r>
              <w:rPr>
                <w:sz w:val="18"/>
              </w:rPr>
              <w:t>18 Nov 2025</w:t>
            </w:r>
          </w:p>
        </w:tc>
        <w:tc>
          <w:tcPr>
            <w:tcW w:type="dxa" w:w="1686"/>
          </w:tcPr>
          <w:p>
            <w:r/>
            <w:r>
              <w:rPr>
                <w:sz w:val="18"/>
              </w:rPr>
              <w:t>Complete</w:t>
            </w:r>
          </w:p>
        </w:tc>
      </w:tr>
      <w:tr>
        <w:tc>
          <w:tcPr>
            <w:tcW w:type="dxa" w:w="5619"/>
            <w:shd w:val="clear" w:color="auto" w:fill="EEF3F6"/>
          </w:tcPr>
          <w:p>
            <w:r/>
            <w:r>
              <w:rPr>
                <w:sz w:val="18"/>
              </w:rPr>
              <w:t>Public consultation #1</w:t>
            </w:r>
          </w:p>
        </w:tc>
        <w:tc>
          <w:tcPr>
            <w:tcW w:type="dxa" w:w="2107"/>
            <w:shd w:val="clear" w:color="auto" w:fill="EEF3F6"/>
          </w:tcPr>
          <w:p>
            <w:r/>
            <w:r>
              <w:rPr>
                <w:sz w:val="18"/>
              </w:rPr>
              <w:t>11 Mar 2026</w:t>
            </w:r>
          </w:p>
        </w:tc>
        <w:tc>
          <w:tcPr>
            <w:tcW w:type="dxa" w:w="1686"/>
            <w:shd w:val="clear" w:color="auto" w:fill="EEF3F6"/>
          </w:tcPr>
          <w:p>
            <w:r/>
            <w:r>
              <w:rPr>
                <w:sz w:val="18"/>
              </w:rPr>
              <w:t>Complete</w:t>
            </w:r>
          </w:p>
        </w:tc>
      </w:tr>
      <w:tr>
        <w:tc>
          <w:tcPr>
            <w:tcW w:type="dxa" w:w="5619"/>
          </w:tcPr>
          <w:p>
            <w:r/>
            <w:r>
              <w:rPr>
                <w:sz w:val="18"/>
              </w:rPr>
              <w:t>Public consultation #2</w:t>
            </w:r>
          </w:p>
        </w:tc>
        <w:tc>
          <w:tcPr>
            <w:tcW w:type="dxa" w:w="2107"/>
          </w:tcPr>
          <w:p>
            <w:r/>
            <w:r>
              <w:rPr>
                <w:sz w:val="18"/>
              </w:rPr>
              <w:t>20 May 2026</w:t>
            </w:r>
          </w:p>
        </w:tc>
        <w:tc>
          <w:tcPr>
            <w:tcW w:type="dxa" w:w="1686"/>
          </w:tcPr>
          <w:p>
            <w:r/>
            <w:r>
              <w:rPr>
                <w:sz w:val="18"/>
              </w:rPr>
              <w:t>Complete</w:t>
            </w:r>
          </w:p>
        </w:tc>
      </w:tr>
      <w:tr>
        <w:tc>
          <w:tcPr>
            <w:tcW w:type="dxa" w:w="5619"/>
            <w:shd w:val="clear" w:color="auto" w:fill="EEF3F6"/>
          </w:tcPr>
          <w:p>
            <w:r/>
            <w:r>
              <w:rPr>
                <w:sz w:val="18"/>
              </w:rPr>
              <w:t>Planning application MDC/2026/0412 submitted</w:t>
            </w:r>
          </w:p>
        </w:tc>
        <w:tc>
          <w:tcPr>
            <w:tcW w:type="dxa" w:w="2107"/>
            <w:shd w:val="clear" w:color="auto" w:fill="EEF3F6"/>
          </w:tcPr>
          <w:p>
            <w:r/>
            <w:r>
              <w:rPr>
                <w:sz w:val="18"/>
              </w:rPr>
              <w:t>18 Jun 2026</w:t>
            </w:r>
          </w:p>
        </w:tc>
        <w:tc>
          <w:tcPr>
            <w:tcW w:type="dxa" w:w="1686"/>
            <w:shd w:val="clear" w:color="auto" w:fill="EEF3F6"/>
          </w:tcPr>
          <w:p>
            <w:r/>
            <w:r>
              <w:rPr>
                <w:sz w:val="18"/>
              </w:rPr>
              <w:t>Complete</w:t>
            </w:r>
          </w:p>
        </w:tc>
      </w:tr>
      <w:tr>
        <w:tc>
          <w:tcPr>
            <w:tcW w:type="dxa" w:w="5619"/>
          </w:tcPr>
          <w:p>
            <w:r/>
            <w:r>
              <w:rPr>
                <w:sz w:val="18"/>
              </w:rPr>
              <w:t>Application validated by Millbrook District Council</w:t>
            </w:r>
          </w:p>
        </w:tc>
        <w:tc>
          <w:tcPr>
            <w:tcW w:type="dxa" w:w="2107"/>
          </w:tcPr>
          <w:p>
            <w:r/>
            <w:r>
              <w:rPr>
                <w:sz w:val="18"/>
              </w:rPr>
              <w:t>2 Jul 2026</w:t>
            </w:r>
          </w:p>
        </w:tc>
        <w:tc>
          <w:tcPr>
            <w:tcW w:type="dxa" w:w="1686"/>
          </w:tcPr>
          <w:p>
            <w:r/>
            <w:r>
              <w:rPr>
                <w:sz w:val="18"/>
              </w:rPr>
              <w:t>Complete</w:t>
            </w:r>
          </w:p>
        </w:tc>
      </w:tr>
      <w:tr>
        <w:tc>
          <w:tcPr>
            <w:tcW w:type="dxa" w:w="5619"/>
            <w:shd w:val="clear" w:color="auto" w:fill="EEF3F6"/>
          </w:tcPr>
          <w:p>
            <w:r/>
            <w:r>
              <w:rPr>
                <w:sz w:val="18"/>
              </w:rPr>
              <w:t>Public consultation #3 (proposed amendments)</w:t>
            </w:r>
          </w:p>
        </w:tc>
        <w:tc>
          <w:tcPr>
            <w:tcW w:type="dxa" w:w="2107"/>
            <w:shd w:val="clear" w:color="auto" w:fill="EEF3F6"/>
          </w:tcPr>
          <w:p>
            <w:r/>
            <w:r>
              <w:rPr>
                <w:sz w:val="18"/>
              </w:rPr>
              <w:t>16 Sep 2026</w:t>
            </w:r>
          </w:p>
        </w:tc>
        <w:tc>
          <w:tcPr>
            <w:tcW w:type="dxa" w:w="1686"/>
            <w:shd w:val="clear" w:color="auto" w:fill="EEF3F6"/>
          </w:tcPr>
          <w:p>
            <w:r/>
            <w:r>
              <w:rPr>
                <w:sz w:val="18"/>
              </w:rPr>
              <w:t>Complete</w:t>
            </w:r>
          </w:p>
        </w:tc>
      </w:tr>
      <w:tr>
        <w:tc>
          <w:tcPr>
            <w:tcW w:type="dxa" w:w="5619"/>
          </w:tcPr>
          <w:p>
            <w:r/>
            <w:r>
              <w:rPr>
                <w:sz w:val="18"/>
              </w:rPr>
              <w:t>Amendment pack submitted to the council</w:t>
            </w:r>
          </w:p>
        </w:tc>
        <w:tc>
          <w:tcPr>
            <w:tcW w:type="dxa" w:w="2107"/>
          </w:tcPr>
          <w:p>
            <w:r/>
            <w:r>
              <w:rPr>
                <w:sz w:val="18"/>
              </w:rPr>
              <w:t>Oct 2026</w:t>
            </w:r>
          </w:p>
        </w:tc>
        <w:tc>
          <w:tcPr>
            <w:tcW w:type="dxa" w:w="1686"/>
          </w:tcPr>
          <w:p>
            <w:r/>
            <w:r>
              <w:rPr>
                <w:sz w:val="18"/>
              </w:rPr>
              <w:t>In progress</w:t>
            </w:r>
          </w:p>
        </w:tc>
      </w:tr>
      <w:tr>
        <w:tc>
          <w:tcPr>
            <w:tcW w:type="dxa" w:w="5619"/>
            <w:shd w:val="clear" w:color="auto" w:fill="EEF3F6"/>
          </w:tcPr>
          <w:p>
            <w:r/>
            <w:r>
              <w:rPr>
                <w:sz w:val="18"/>
              </w:rPr>
              <w:t>Planning committee</w:t>
            </w:r>
          </w:p>
        </w:tc>
        <w:tc>
          <w:tcPr>
            <w:tcW w:type="dxa" w:w="2107"/>
            <w:shd w:val="clear" w:color="auto" w:fill="EEF3F6"/>
          </w:tcPr>
          <w:p>
            <w:r/>
            <w:r>
              <w:rPr>
                <w:sz w:val="18"/>
              </w:rPr>
              <w:t>Feb 2027</w:t>
            </w:r>
          </w:p>
        </w:tc>
        <w:tc>
          <w:tcPr>
            <w:tcW w:type="dxa" w:w="1686"/>
            <w:shd w:val="clear" w:color="auto" w:fill="EEF3F6"/>
          </w:tcPr>
          <w:p>
            <w:r/>
            <w:r>
              <w:rPr>
                <w:sz w:val="18"/>
              </w:rPr>
              <w:t>Planned</w:t>
            </w:r>
          </w:p>
        </w:tc>
      </w:tr>
      <w:tr>
        <w:tc>
          <w:tcPr>
            <w:tcW w:type="dxa" w:w="5619"/>
          </w:tcPr>
          <w:p>
            <w:r/>
            <w:r>
              <w:rPr>
                <w:sz w:val="18"/>
              </w:rPr>
              <w:t>Planning decision</w:t>
            </w:r>
          </w:p>
        </w:tc>
        <w:tc>
          <w:tcPr>
            <w:tcW w:type="dxa" w:w="2107"/>
          </w:tcPr>
          <w:p>
            <w:r/>
            <w:r>
              <w:rPr>
                <w:sz w:val="18"/>
              </w:rPr>
              <w:t>Q1 2027</w:t>
            </w:r>
          </w:p>
        </w:tc>
        <w:tc>
          <w:tcPr>
            <w:tcW w:type="dxa" w:w="1686"/>
          </w:tcPr>
          <w:p>
            <w:r/>
            <w:r>
              <w:rPr>
                <w:sz w:val="18"/>
              </w:rPr>
              <w:t>Planned</w:t>
            </w:r>
          </w:p>
        </w:tc>
      </w:tr>
      <w:tr>
        <w:tc>
          <w:tcPr>
            <w:tcW w:type="dxa" w:w="5619"/>
            <w:shd w:val="clear" w:color="auto" w:fill="EEF3F6"/>
          </w:tcPr>
          <w:p>
            <w:r/>
            <w:r>
              <w:rPr>
                <w:sz w:val="18"/>
              </w:rPr>
              <w:t>EPC contract award to SunForge EPC Ltd</w:t>
            </w:r>
          </w:p>
        </w:tc>
        <w:tc>
          <w:tcPr>
            <w:tcW w:type="dxa" w:w="2107"/>
            <w:shd w:val="clear" w:color="auto" w:fill="EEF3F6"/>
          </w:tcPr>
          <w:p>
            <w:r/>
            <w:r>
              <w:rPr>
                <w:sz w:val="18"/>
              </w:rPr>
              <w:t>Q2 2027</w:t>
            </w:r>
          </w:p>
        </w:tc>
        <w:tc>
          <w:tcPr>
            <w:tcW w:type="dxa" w:w="1686"/>
            <w:shd w:val="clear" w:color="auto" w:fill="EEF3F6"/>
          </w:tcPr>
          <w:p>
            <w:r/>
            <w:r>
              <w:rPr>
                <w:sz w:val="18"/>
              </w:rPr>
              <w:t>Planned</w:t>
            </w:r>
          </w:p>
        </w:tc>
      </w:tr>
      <w:tr>
        <w:tc>
          <w:tcPr>
            <w:tcW w:type="dxa" w:w="5619"/>
          </w:tcPr>
          <w:p>
            <w:r/>
            <w:r>
              <w:rPr>
                <w:sz w:val="18"/>
              </w:rPr>
              <w:t>Financial close and notice to proceed</w:t>
            </w:r>
          </w:p>
        </w:tc>
        <w:tc>
          <w:tcPr>
            <w:tcW w:type="dxa" w:w="2107"/>
          </w:tcPr>
          <w:p>
            <w:r/>
            <w:r>
              <w:rPr>
                <w:sz w:val="18"/>
              </w:rPr>
              <w:t>Q3 2027</w:t>
            </w:r>
          </w:p>
        </w:tc>
        <w:tc>
          <w:tcPr>
            <w:tcW w:type="dxa" w:w="1686"/>
          </w:tcPr>
          <w:p>
            <w:r/>
            <w:r>
              <w:rPr>
                <w:sz w:val="18"/>
              </w:rPr>
              <w:t>Planned</w:t>
            </w:r>
          </w:p>
        </w:tc>
      </w:tr>
      <w:tr>
        <w:tc>
          <w:tcPr>
            <w:tcW w:type="dxa" w:w="5619"/>
            <w:shd w:val="clear" w:color="auto" w:fill="EEF3F6"/>
          </w:tcPr>
          <w:p>
            <w:r/>
            <w:r>
              <w:rPr>
                <w:sz w:val="18"/>
              </w:rPr>
              <w:t>Grid connection date (NordGrid offer)</w:t>
            </w:r>
          </w:p>
        </w:tc>
        <w:tc>
          <w:tcPr>
            <w:tcW w:type="dxa" w:w="2107"/>
            <w:shd w:val="clear" w:color="auto" w:fill="EEF3F6"/>
          </w:tcPr>
          <w:p>
            <w:r/>
            <w:r>
              <w:rPr>
                <w:sz w:val="18"/>
              </w:rPr>
              <w:t>31 Oct 2028</w:t>
            </w:r>
          </w:p>
        </w:tc>
        <w:tc>
          <w:tcPr>
            <w:tcW w:type="dxa" w:w="1686"/>
            <w:shd w:val="clear" w:color="auto" w:fill="EEF3F6"/>
          </w:tcPr>
          <w:p>
            <w:r/>
            <w:r>
              <w:rPr>
                <w:sz w:val="18"/>
              </w:rPr>
              <w:t>Planned</w:t>
            </w:r>
          </w:p>
        </w:tc>
      </w:tr>
      <w:tr>
        <w:tc>
          <w:tcPr>
            <w:tcW w:type="dxa" w:w="5619"/>
          </w:tcPr>
          <w:p>
            <w:r/>
            <w:r>
              <w:rPr>
                <w:sz w:val="18"/>
              </w:rPr>
              <w:t>Commercial operation</w:t>
            </w:r>
          </w:p>
        </w:tc>
        <w:tc>
          <w:tcPr>
            <w:tcW w:type="dxa" w:w="2107"/>
          </w:tcPr>
          <w:p>
            <w:r/>
            <w:r>
              <w:rPr>
                <w:sz w:val="18"/>
              </w:rPr>
              <w:t>Q4 2028</w:t>
            </w:r>
          </w:p>
        </w:tc>
        <w:tc>
          <w:tcPr>
            <w:tcW w:type="dxa" w:w="1686"/>
          </w:tcPr>
          <w:p>
            <w:r/>
            <w:r>
              <w:rPr>
                <w:sz w:val="18"/>
              </w:rPr>
              <w:t>Planned</w:t>
            </w:r>
          </w:p>
        </w:tc>
      </w:tr>
    </w:tbl>
    <w:p/>
    <w:p>
      <w:pPr>
        <w:pStyle w:val="Heading1"/>
      </w:pPr>
      <w:r>
        <w:t>5. Planning strategy</w:t>
      </w:r>
    </w:p>
    <w:p>
      <w:r>
        <w:t>The application is a full planning application under the Town and Country Planning Act. Our strategy rests on three pillars: early and genuine consultation (three public events instead of the usual one or two), a design that visibly responds to feedback, and a biodiversity net gain of 20 % – double the statutory minimum of 10 %.</w:t>
      </w:r>
    </w:p>
    <w:p>
      <w:pPr>
        <w:pStyle w:val="ListBullet"/>
      </w:pPr>
      <w:r>
        <w:rPr>
          <w:b/>
        </w:rPr>
        <w:t>Glare:</w:t>
      </w:r>
      <w:r>
        <w:t xml:space="preserve"> independent glint and glare assessment; 3 m hedgerow screening at receptors R04–R06 on Mill Lane.</w:t>
      </w:r>
    </w:p>
    <w:p>
      <w:pPr>
        <w:pStyle w:val="ListBullet"/>
      </w:pPr>
      <w:r>
        <w:rPr>
          <w:b/>
        </w:rPr>
        <w:t>Construction traffic:</w:t>
      </w:r>
      <w:r>
        <w:t xml:space="preserve"> temporary haul road from the B4127 so that HGVs do not use the village section of Mill Lane.</w:t>
      </w:r>
    </w:p>
    <w:p>
      <w:pPr>
        <w:pStyle w:val="ListBullet"/>
      </w:pPr>
      <w:r>
        <w:rPr>
          <w:b/>
        </w:rPr>
        <w:t>Skylark:</w:t>
      </w:r>
      <w:r>
        <w:t xml:space="preserve"> 46 skylark plots on 12.8 ha of retained arable land, monitored for five years.</w:t>
      </w:r>
    </w:p>
    <w:p>
      <w:pPr>
        <w:pStyle w:val="ListBullet"/>
      </w:pPr>
      <w:r>
        <w:rPr>
          <w:b/>
        </w:rPr>
        <w:t>Footpath FP14:</w:t>
      </w:r>
      <w:r>
        <w:t xml:space="preserve"> buffer widened from 15 m to 30 m; field 7 removed from the layout to keep the view to St Mary's Church open.</w:t>
      </w:r>
    </w:p>
    <w:p>
      <w:pPr>
        <w:pStyle w:val="Heading1"/>
      </w:pPr>
      <w:r>
        <w:t>6. Tolerances and change control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Dimension</w:t>
            </w:r>
          </w:p>
        </w:tc>
        <w:tc>
          <w:tcPr>
            <w:tcW w:type="dxa" w:w="2353"/>
            <w:shd w:val="clear" w:color="auto" w:fill="0B3C5D"/>
          </w:tcPr>
          <w:p>
            <w:r/>
            <w:r>
              <w:rPr>
                <w:b/>
                <w:color w:val="FFFFFF"/>
                <w:sz w:val="18"/>
              </w:rPr>
              <w:t>Project Manager</w:t>
            </w:r>
          </w:p>
        </w:tc>
        <w:tc>
          <w:tcPr>
            <w:tcW w:type="dxa" w:w="2353"/>
            <w:shd w:val="clear" w:color="auto" w:fill="0B3C5D"/>
          </w:tcPr>
          <w:p>
            <w:r/>
            <w:r>
              <w:rPr>
                <w:b/>
                <w:color w:val="FFFFFF"/>
                <w:sz w:val="18"/>
              </w:rPr>
              <w:t>Project Board</w:t>
            </w:r>
          </w:p>
        </w:tc>
        <w:tc>
          <w:tcPr>
            <w:tcW w:type="dxa" w:w="2353"/>
            <w:shd w:val="clear" w:color="auto" w:fill="0B3C5D"/>
          </w:tcPr>
          <w:p>
            <w:r/>
            <w:r>
              <w:rPr>
                <w:b/>
                <w:color w:val="FFFFFF"/>
                <w:sz w:val="18"/>
              </w:rPr>
              <w:t>Investment Committee</w:t>
            </w:r>
          </w:p>
        </w:tc>
      </w:tr>
      <w:tr>
        <w:tc>
          <w:tcPr>
            <w:tcW w:type="dxa" w:w="2353"/>
          </w:tcPr>
          <w:p>
            <w:r/>
            <w:r>
              <w:rPr>
                <w:sz w:val="18"/>
              </w:rPr>
              <w:t>Capex</w:t>
            </w:r>
          </w:p>
        </w:tc>
        <w:tc>
          <w:tcPr>
            <w:tcW w:type="dxa" w:w="2353"/>
          </w:tcPr>
          <w:p>
            <w:r/>
            <w:r>
              <w:rPr>
                <w:sz w:val="18"/>
              </w:rPr>
              <w:t>± EUR 0.5 m</w:t>
            </w:r>
          </w:p>
        </w:tc>
        <w:tc>
          <w:tcPr>
            <w:tcW w:type="dxa" w:w="2353"/>
          </w:tcPr>
          <w:p>
            <w:r/>
            <w:r>
              <w:rPr>
                <w:sz w:val="18"/>
              </w:rPr>
              <w:t>± EUR 2.0 m</w:t>
            </w:r>
          </w:p>
        </w:tc>
        <w:tc>
          <w:tcPr>
            <w:tcW w:type="dxa" w:w="2353"/>
          </w:tcPr>
          <w:p>
            <w:r/>
            <w:r>
              <w:rPr>
                <w:sz w:val="18"/>
              </w:rPr>
              <w:t>&gt; EUR 2.0 m</w:t>
            </w:r>
          </w:p>
        </w:tc>
      </w:tr>
      <w:tr>
        <w:tc>
          <w:tcPr>
            <w:tcW w:type="dxa" w:w="2353"/>
            <w:shd w:val="clear" w:color="auto" w:fill="EEF3F6"/>
          </w:tcPr>
          <w:p>
            <w:r/>
            <w:r>
              <w:rPr>
                <w:sz w:val="18"/>
              </w:rPr>
              <w:t>Schedule (key milestone)</w:t>
            </w:r>
          </w:p>
        </w:tc>
        <w:tc>
          <w:tcPr>
            <w:tcW w:type="dxa" w:w="2353"/>
            <w:shd w:val="clear" w:color="auto" w:fill="EEF3F6"/>
          </w:tcPr>
          <w:p>
            <w:r/>
            <w:r>
              <w:rPr>
                <w:sz w:val="18"/>
              </w:rPr>
              <w:t>± 2 weeks</w:t>
            </w:r>
          </w:p>
        </w:tc>
        <w:tc>
          <w:tcPr>
            <w:tcW w:type="dxa" w:w="2353"/>
            <w:shd w:val="clear" w:color="auto" w:fill="EEF3F6"/>
          </w:tcPr>
          <w:p>
            <w:r/>
            <w:r>
              <w:rPr>
                <w:sz w:val="18"/>
              </w:rPr>
              <w:t>± 3 months</w:t>
            </w:r>
          </w:p>
        </w:tc>
        <w:tc>
          <w:tcPr>
            <w:tcW w:type="dxa" w:w="2353"/>
            <w:shd w:val="clear" w:color="auto" w:fill="EEF3F6"/>
          </w:tcPr>
          <w:p>
            <w:r/>
            <w:r>
              <w:rPr>
                <w:sz w:val="18"/>
              </w:rPr>
              <w:t>&gt; 3 months</w:t>
            </w:r>
          </w:p>
        </w:tc>
      </w:tr>
      <w:tr>
        <w:tc>
          <w:tcPr>
            <w:tcW w:type="dxa" w:w="2353"/>
          </w:tcPr>
          <w:p>
            <w:r/>
            <w:r>
              <w:rPr>
                <w:sz w:val="18"/>
              </w:rPr>
              <w:t>Installed capacity</w:t>
            </w:r>
          </w:p>
        </w:tc>
        <w:tc>
          <w:tcPr>
            <w:tcW w:type="dxa" w:w="2353"/>
          </w:tcPr>
          <w:p>
            <w:r/>
            <w:r>
              <w:rPr>
                <w:sz w:val="18"/>
              </w:rPr>
              <w:t>± 0.5 MWp</w:t>
            </w:r>
          </w:p>
        </w:tc>
        <w:tc>
          <w:tcPr>
            <w:tcW w:type="dxa" w:w="2353"/>
          </w:tcPr>
          <w:p>
            <w:r/>
            <w:r>
              <w:rPr>
                <w:sz w:val="18"/>
              </w:rPr>
              <w:t>± 3 MWp</w:t>
            </w:r>
          </w:p>
        </w:tc>
        <w:tc>
          <w:tcPr>
            <w:tcW w:type="dxa" w:w="2353"/>
          </w:tcPr>
          <w:p>
            <w:r/>
            <w:r>
              <w:rPr>
                <w:sz w:val="18"/>
              </w:rPr>
              <w:t>&gt; 3 MWp</w:t>
            </w:r>
          </w:p>
        </w:tc>
      </w:tr>
      <w:tr>
        <w:tc>
          <w:tcPr>
            <w:tcW w:type="dxa" w:w="2353"/>
            <w:shd w:val="clear" w:color="auto" w:fill="EEF3F6"/>
          </w:tcPr>
          <w:p>
            <w:r/>
            <w:r>
              <w:rPr>
                <w:sz w:val="18"/>
              </w:rPr>
              <w:t>Community fund</w:t>
            </w:r>
          </w:p>
        </w:tc>
        <w:tc>
          <w:tcPr>
            <w:tcW w:type="dxa" w:w="2353"/>
            <w:shd w:val="clear" w:color="auto" w:fill="EEF3F6"/>
          </w:tcPr>
          <w:p>
            <w:r/>
            <w:r>
              <w:rPr>
                <w:sz w:val="18"/>
              </w:rPr>
              <w:t>–</w:t>
            </w:r>
          </w:p>
        </w:tc>
        <w:tc>
          <w:tcPr>
            <w:tcW w:type="dxa" w:w="2353"/>
            <w:shd w:val="clear" w:color="auto" w:fill="EEF3F6"/>
          </w:tcPr>
          <w:p>
            <w:r/>
            <w:r>
              <w:rPr>
                <w:sz w:val="18"/>
              </w:rPr>
              <w:t>–</w:t>
            </w:r>
          </w:p>
        </w:tc>
        <w:tc>
          <w:tcPr>
            <w:tcW w:type="dxa" w:w="2353"/>
            <w:shd w:val="clear" w:color="auto" w:fill="EEF3F6"/>
          </w:tcPr>
          <w:p>
            <w:r/>
            <w:r>
              <w:rPr>
                <w:sz w:val="18"/>
              </w:rPr>
              <w:t>Any change</w:t>
            </w:r>
          </w:p>
        </w:tc>
      </w:tr>
    </w:tbl>
    <w:p/>
    <w:p>
      <w:pPr>
        <w:pStyle w:val="Heading1"/>
      </w:pPr>
      <w:r>
        <w:t>7. Reporting</w:t>
      </w:r>
    </w:p>
    <w:p>
      <w:r>
        <w:t>The Project Manager issues a monthly status report by the third working day of each month and chairs a Project Board on the last Tuesday of each month. Risks are tracked in the Millbrook risk register (MB-RISK-xxx) and escalated to the company risk register when their score exceeds 15.</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MB-PM-PLN-0001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Millbrook Solar &amp; Storage</dc:subject>
  <dc:creator>Liam McAllister</dc:creator>
  <cp:keywords>approved</cp:keywords>
  <dc:description>generated by python-docx</dc:description>
  <cp:lastModifiedBy>Liam McAllister</cp:lastModifiedBy>
  <cp:revision>1</cp:revision>
  <dcterms:created xsi:type="dcterms:W3CDTF">2025-12-08T10:00:00Z</dcterms:created>
  <dcterms:modified xsi:type="dcterms:W3CDTF">2026-04-22T10:00:00Z</dcterms:modified>
  <cp:category/>
</cp:coreProperties>
</file>