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Double materiality assessment 2026</w:t>
      </w:r>
    </w:p>
    <w:p>
      <w:r>
        <w:rPr>
          <w:color w:val="1FA2A6"/>
          <w:sz w:val="25"/>
        </w:rPr>
        <w:t>Sustainability Report 2026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Hannah Weber  ·  24 July 2026  ·  WE-HSE-RPT-0031</w:t>
      </w:r>
    </w:p>
    <w:p>
      <w:pPr>
        <w:pStyle w:val="Heading1"/>
      </w:pPr>
      <w:r>
        <w:t>1. Approach</w:t>
      </w:r>
    </w:p>
    <w:p>
      <w:r>
        <w:t xml:space="preserve">For the first time Weyland has carried out a </w:t>
      </w:r>
      <w:r>
        <w:rPr>
          <w:b/>
        </w:rPr>
        <w:t>double materiality</w:t>
      </w:r>
      <w:r>
        <w:t xml:space="preserve"> assessment following the ESRS 1 logic: a topic is material if it has a significant impact on people or the environment (impact materiality) or if it creates significant financial risks or opportunities for Weyland (financial materiality). The assessment replaces the 2023 single-materiality matrix.</w:t>
      </w:r>
    </w:p>
    <w:p>
      <w:pPr>
        <w:pStyle w:val="ListNumber"/>
      </w:pPr>
      <w:r>
        <w:t>Long list of 32 topics from ESRS topical standards, peer reports and our risk register</w:t>
      </w:r>
    </w:p>
    <w:p>
      <w:pPr>
        <w:pStyle w:val="ListNumber"/>
      </w:pPr>
      <w:r>
        <w:t>Online survey of 312 stakeholders (employees, neighbours, suppliers, lenders, NGOs) in June 2026</w:t>
      </w:r>
    </w:p>
    <w:p>
      <w:pPr>
        <w:pStyle w:val="ListNumber"/>
      </w:pPr>
      <w:r>
        <w:t>Twelve interviews, including Hanseatic Infrastructure Bank, Arcturus Steel, Marlow Ecology and two community councils</w:t>
      </w:r>
    </w:p>
    <w:p>
      <w:pPr>
        <w:pStyle w:val="ListNumber"/>
      </w:pPr>
      <w:r>
        <w:t>Scoring workshop on 9 July 2026 with heads of department; scale 1 (low) to 5 (very high)</w:t>
      </w:r>
    </w:p>
    <w:p>
      <w:pPr>
        <w:pStyle w:val="ListNumber"/>
      </w:pPr>
      <w:r>
        <w:t>Threshold 3.0 on either axis</w:t>
      </w:r>
    </w:p>
    <w:p>
      <w:pPr>
        <w:pStyle w:val="Heading1"/>
      </w:pPr>
      <w:r>
        <w:t>2. Results</w:t>
      </w:r>
    </w:p>
    <w:p>
      <w:r>
        <w:t>Fourteen of the fifteen short-listed topics are material. Climate change mitigation, health and safety and marine biodiversity lead on impact; climate change, grid integration and community acceptance lead on financial materiality. Only water use is not material for a wind and solar business; diversity and inclusion and circularity only just pass the threshold.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Double materiality assessment 2026  ·  WE-HSE-RPT-0031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materiality assessment 2026</dc:title>
  <dc:subject>Sustainability Report 2026</dc:subject>
  <dc:creator>Hannah Weber</dc:creator>
  <cp:keywords>approved, board</cp:keywords>
  <dc:description>generated by python-docx</dc:description>
  <cp:lastModifiedBy>Hannah Weber</cp:lastModifiedBy>
  <cp:revision>1</cp:revision>
  <dcterms:created xsi:type="dcterms:W3CDTF">2026-07-10T10:00:00Z</dcterms:created>
  <dcterms:modified xsi:type="dcterms:W3CDTF">2026-07-24T10:00:00Z</dcterms:modified>
  <cp:category/>
</cp:coreProperties>
</file>