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Foreword</w:t>
      </w:r>
    </w:p>
    <w:p>
      <w:r>
        <w:rPr>
          <w:color w:val="1FA2A6"/>
          <w:sz w:val="25"/>
        </w:rPr>
        <w:t>Sustainability Report 2026 – Chapter 1 (draft)</w:t>
      </w:r>
    </w:p>
    <w:p>
      <w:pPr>
        <w:pBdr>
          <w:bottom w:val="single" w:sz="12" w:space="6" w:color="1FA2A6"/>
        </w:pBdr>
      </w:pPr>
      <w:r>
        <w:rPr>
          <w:color w:val="4A5A68"/>
          <w:sz w:val="18"/>
        </w:rPr>
        <w:t>Noah Fischer  ·  24 August 2026</w:t>
      </w:r>
    </w:p>
    <w:p>
      <w:r>
        <w:t>Dear readers,</w:t>
      </w:r>
    </w:p>
    <w:p>
      <w:r>
        <w:t>2026 is the year Weyland became a builder. In February we took the final investment decision on Harrow Bay Offshore Wind, in April the first monopile went into the North Sea, and in August the offshore substation followed. When the wind farm is complete in 2028 its 480 MW will supply the equivalent of 520,000 homes.</w:t>
      </w:r>
    </w:p>
    <w:p>
      <w:r>
        <w:t>Our operating assets avoided 1.2 million tonnes of CO₂ in 2025, and we are proud of our strong sustainability performance across all areas.</w:t>
      </w:r>
    </w:p>
    <w:p>
      <w:r>
        <w:t>Thank you to our 450 colleagues and to everyone who challenged us in this year's materiality survey.</w:t>
      </w:r>
    </w:p>
    <w:p>
      <w:r>
        <w:t>Dr. Amara Okafor, Chief Executive Officer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Foreword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Foreword</dc:title>
  <dc:subject>Sustainability Report 2026 – Chapter 1 (draft)</dc:subject>
  <dc:creator>Noah Fischer</dc:creator>
  <cp:keywords>draft, in review</cp:keywords>
  <dc:description>generated by python-docx</dc:description>
  <cp:lastModifiedBy>Noah Fischer</cp:lastModifiedBy>
  <cp:revision>1</cp:revision>
  <dcterms:created xsi:type="dcterms:W3CDTF">2026-08-18T10:00:00Z</dcterms:created>
  <dcterms:modified xsi:type="dcterms:W3CDTF">2026-08-24T10:00:00Z</dcterms:modified>
  <cp:category/>
</cp:coreProperties>
</file>