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Case ID: UC1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Case Name: Searching System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Actors: PM/HR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Search keyword and return a list of result.The most matched resume appeared at the top of the list after the keyword searching, rest of them appearing in descending order.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Precondition: Login Complete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Postconditions: Resume will be shown on the screen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Normal Course: User can be search by one of the following, but search information can not be blank: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-First name (type)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-Last name (type)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-Position (Type)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-Working field (need tab to select from existing keywords)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-Living area (type)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-US citizen? (choose 'yes' or 'no')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-Degree (select form tabs)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-Source (select from tab)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-Submission date (select from tab)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-Marked documents showed on the top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Case ID: UC2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Case Name: Label Data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Actors: PM/HR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label specific files that you want to review later, or label the files that you most interested.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Precondition: UC1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Postconditions: A row information will be highlighted.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Normal Course: User click an icon that shown on the row, then that row will be highlighted.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