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项目架构</w:t>
      </w:r>
    </w:p>
    <w:p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maven多模块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4"/>
        <w:gridCol w:w="67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dxd-application</w:t>
            </w:r>
          </w:p>
        </w:tc>
        <w:tc>
          <w:tcPr>
            <w:tcW w:w="67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应用启动类及相关配置文件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dxd-common</w:t>
            </w:r>
          </w:p>
        </w:tc>
        <w:tc>
          <w:tcPr>
            <w:tcW w:w="67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应用通用模块，系统框架相关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dxd-business</w:t>
            </w:r>
          </w:p>
        </w:tc>
        <w:tc>
          <w:tcPr>
            <w:tcW w:w="67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业务处理模块，具体业务开发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dxd-application说明</w:t>
      </w:r>
    </w:p>
    <w:p>
      <w:r>
        <w:drawing>
          <wp:inline distT="0" distB="0" distL="114300" distR="114300">
            <wp:extent cx="5269230" cy="2839085"/>
            <wp:effectExtent l="0" t="0" r="7620" b="184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多环境配置文件: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application-dev.yml     开发环境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application-prod.yml    生产环境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可在pom.xml中修改默认激活的运行环境。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839085"/>
            <wp:effectExtent l="0" t="0" r="7620" b="184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dxd-common模块说明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4"/>
        <w:gridCol w:w="67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api</w:t>
            </w:r>
          </w:p>
        </w:tc>
        <w:tc>
          <w:tcPr>
            <w:tcW w:w="67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api响应码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base</w:t>
            </w:r>
          </w:p>
        </w:tc>
        <w:tc>
          <w:tcPr>
            <w:tcW w:w="67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公共接口或抽象类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cache</w:t>
            </w:r>
          </w:p>
        </w:tc>
        <w:tc>
          <w:tcPr>
            <w:tcW w:w="67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缓存模块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config</w:t>
            </w:r>
          </w:p>
        </w:tc>
        <w:tc>
          <w:tcPr>
            <w:tcW w:w="67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配置模块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constant</w:t>
            </w:r>
          </w:p>
        </w:tc>
        <w:tc>
          <w:tcPr>
            <w:tcW w:w="67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常量类模块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framework</w:t>
            </w:r>
          </w:p>
        </w:tc>
        <w:tc>
          <w:tcPr>
            <w:tcW w:w="67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框架核心模块，包含过滤器，拦截器，异常处理等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log</w:t>
            </w:r>
          </w:p>
        </w:tc>
        <w:tc>
          <w:tcPr>
            <w:tcW w:w="67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AOP日志模块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4" w:type="dxa"/>
          </w:tcPr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shiro</w:t>
            </w:r>
          </w:p>
        </w:tc>
        <w:tc>
          <w:tcPr>
            <w:tcW w:w="6728" w:type="dxa"/>
          </w:tcPr>
          <w:p>
            <w:pPr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jwt+shiro权限框架模块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4" w:type="dxa"/>
          </w:tcPr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system</w:t>
            </w:r>
          </w:p>
        </w:tc>
        <w:tc>
          <w:tcPr>
            <w:tcW w:w="6728" w:type="dxa"/>
          </w:tcPr>
          <w:p>
            <w:pPr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数据库中sys表相关的操作模块，loginController存在这里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4" w:type="dxa"/>
          </w:tcPr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util</w:t>
            </w:r>
          </w:p>
        </w:tc>
        <w:tc>
          <w:tcPr>
            <w:tcW w:w="6728" w:type="dxa"/>
          </w:tcPr>
          <w:p>
            <w:pPr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工具类模块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2.自定义filter和Interceptor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自定义filter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自定义filter类，实现Filter接口。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  <w:r>
        <w:rPr>
          <w:rFonts w:hint="default"/>
          <w:lang w:val="en-US" w:eastAsia="zh-CN"/>
        </w:rPr>
        <w:t>cn.com.topnetwork.dxd.framework.filter</w:t>
      </w:r>
      <w:r>
        <w:rPr>
          <w:rFonts w:hint="eastAsia"/>
          <w:lang w:val="en-US" w:eastAsia="zh-CN"/>
        </w:rPr>
        <w:t>包下类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839085"/>
            <wp:effectExtent l="0" t="0" r="7620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自定义interceptor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自定义interceptor类，继承HandlerInterceptorAdapter。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参考：</w:t>
      </w:r>
      <w:r>
        <w:rPr>
          <w:rFonts w:hint="default"/>
          <w:lang w:val="en-US" w:eastAsia="zh-CN"/>
        </w:rPr>
        <w:t>cn.com.topnetwork.dxd.framework.</w:t>
      </w:r>
      <w:r>
        <w:rPr>
          <w:rFonts w:hint="eastAsia"/>
          <w:lang w:val="en-US" w:eastAsia="zh-CN"/>
        </w:rPr>
        <w:t>interceptor包下类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839085"/>
            <wp:effectExtent l="0" t="0" r="762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 配置类配置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在配置类SpringBootWebMvcConfig中添加自定义的filter和interceptor类。同时将配置信息配置在application.yml文件中。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参考：</w:t>
      </w:r>
      <w:r>
        <w:rPr>
          <w:rFonts w:hint="default"/>
          <w:lang w:val="en-US" w:eastAsia="zh-CN"/>
        </w:rPr>
        <w:t>cn.com.topnetwork.dxd.</w:t>
      </w:r>
      <w:r>
        <w:rPr>
          <w:rFonts w:hint="eastAsia"/>
          <w:lang w:val="en-US" w:eastAsia="zh-CN"/>
        </w:rPr>
        <w:t>config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SpringBootWebMvcConfig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839085"/>
            <wp:effectExtent l="0" t="0" r="7620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839085"/>
            <wp:effectExtent l="0" t="0" r="7620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3.自定义缓存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默认集成Ehcache缓存，可自定义扩展。扩展步骤：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 自定义缓存类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自定义缓存类，实现Icache接口。该类由spring容器管理，添加@component注解。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参考：cn.com.topnetwork.dxd.cache.EhcacheCache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操作工具类：cn.com.topnetwork.dxd.util.CacheUtil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839085"/>
            <wp:effectExtent l="0" t="0" r="762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配置类</w:t>
      </w: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自定义配置类,继承CachingConfigurerSupport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参考：cn.com.topnetwork.dxd.config.EhcacheCacheConfig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839085"/>
            <wp:effectExtent l="0" t="0" r="7620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配置文件配置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application.yml中修改cache相关配置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cache.type&gt;&gt;缓存类型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cache.class-path&gt;&gt;自定义缓存类路径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839085"/>
            <wp:effectExtent l="0" t="0" r="762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Aop日志配置</w:t>
      </w:r>
    </w:p>
    <w:p>
      <w:pPr>
        <w:pStyle w:val="4"/>
        <w:numPr>
          <w:ilvl w:val="1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配置文件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839085"/>
            <wp:effectExtent l="0" t="0" r="7620" b="184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line="26" w:lineRule="atLeast"/>
        <w:ind w:left="0" w:firstLine="0"/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log</w:t>
      </w:r>
      <w: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：日志Aop配置，目标：LogAop.java，打印请求响应信息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。</w:t>
      </w:r>
      <w: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如果禁用，将不用打印日志，也不会记录操作和登录日志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a</w:t>
      </w:r>
      <w:r>
        <w:rPr>
          <w:rFonts w:hint="default"/>
          <w:color w:val="0000FF"/>
          <w:lang w:val="en-US" w:eastAsia="zh-CN"/>
        </w:rPr>
        <w:t>op</w:t>
      </w:r>
      <w:r>
        <w:rPr>
          <w:rFonts w:hint="eastAsia"/>
          <w:lang w:val="en-US" w:eastAsia="zh-CN"/>
        </w:rPr>
        <w:t>：切面配置，对应</w:t>
      </w:r>
      <w:r>
        <w:rPr>
          <w:rFonts w:hint="default"/>
          <w:lang w:val="en-US" w:eastAsia="zh-CN"/>
        </w:rPr>
        <w:t>SpringBootAopProperties.java属性配置类</w:t>
      </w:r>
    </w:p>
    <w:p>
      <w:pPr>
        <w:numPr>
          <w:ilvl w:val="0"/>
          <w:numId w:val="0"/>
        </w:numPr>
        <w:ind w:leftChars="0"/>
        <w:rPr>
          <w:rFonts w:hint="default"/>
          <w:color w:val="0000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enable</w:t>
      </w:r>
      <w:r>
        <w:rPr>
          <w:rFonts w:hint="default"/>
          <w:lang w:val="en-US" w:eastAsia="zh-CN"/>
        </w:rPr>
        <w:t>：启用禁用，如果为false，将不</w:t>
      </w:r>
      <w:r>
        <w:rPr>
          <w:rFonts w:hint="eastAsia"/>
          <w:lang w:val="en-US" w:eastAsia="zh-CN"/>
        </w:rPr>
        <w:t>启用aop切面日志</w:t>
      </w:r>
    </w:p>
    <w:p>
      <w:pPr>
        <w:numPr>
          <w:ilvl w:val="0"/>
          <w:numId w:val="0"/>
        </w:numPr>
        <w:ind w:leftChars="0"/>
        <w:rPr>
          <w:rFonts w:hint="default"/>
          <w:color w:val="0000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operation-log</w:t>
      </w:r>
      <w:r>
        <w:rPr>
          <w:rFonts w:hint="default"/>
          <w:lang w:val="en-US" w:eastAsia="zh-CN"/>
        </w:rPr>
        <w:t>：操作日志配置，默认记录@OperationLog</w:t>
      </w:r>
      <w:r>
        <w:rPr>
          <w:rFonts w:hint="eastAsia"/>
          <w:lang w:val="en-US" w:eastAsia="zh-CN"/>
        </w:rPr>
        <w:t>注解的方法</w:t>
      </w:r>
      <w:r>
        <w:rPr>
          <w:rFonts w:hint="default"/>
          <w:lang w:val="en-US" w:eastAsia="zh-CN"/>
        </w:rPr>
        <w:t>，可自定义排除路径，也可使用@OperationLogIgnore注解标注在类或方法上排除，操作记录会保存到sys_operation_log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login-log</w:t>
      </w:r>
      <w:r>
        <w:rPr>
          <w:rFonts w:hint="default"/>
          <w:lang w:val="en-US" w:eastAsia="zh-CN"/>
        </w:rPr>
        <w:t>：登录日志配置，只会保存登录登出日志，需指定登录登出地址，登录日志保存到sys_login_log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Cors跨域配置</w:t>
      </w:r>
    </w:p>
    <w:p>
      <w:pPr>
        <w:pStyle w:val="4"/>
        <w:numPr>
          <w:ilvl w:val="1"/>
          <w:numId w:val="2"/>
        </w:numPr>
        <w:bidi w:val="0"/>
      </w:pPr>
      <w:r>
        <w:rPr>
          <w:rFonts w:hint="eastAsia"/>
          <w:lang w:val="en-US" w:eastAsia="zh-CN"/>
        </w:rPr>
        <w:t xml:space="preserve"> 配置文件</w:t>
      </w:r>
    </w:p>
    <w:p>
      <w:r>
        <w:drawing>
          <wp:inline distT="0" distB="0" distL="114300" distR="114300">
            <wp:extent cx="5269230" cy="2839085"/>
            <wp:effectExtent l="0" t="0" r="7620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配置类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839085"/>
            <wp:effectExtent l="0" t="0" r="7620" b="184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JwtToken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6.1配置文件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839085"/>
            <wp:effectExtent l="0" t="0" r="7620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6.2主要配置参数说明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7"/>
        <w:gridCol w:w="61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numPr>
                <w:ilvl w:val="0"/>
                <w:numId w:val="0"/>
              </w:numPr>
              <w:tabs>
                <w:tab w:val="left" w:pos="3636"/>
              </w:tabs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spring-boot-dxd.jwt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8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expire-second</w:t>
            </w:r>
          </w:p>
        </w:tc>
        <w:tc>
          <w:tcPr>
            <w:tcW w:w="6833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生成token字符串中的有效时间，默认30分钟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8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expire-cache-second</w:t>
            </w:r>
          </w:p>
        </w:tc>
        <w:tc>
          <w:tcPr>
            <w:tcW w:w="683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缓存中token的有效时间，默认60分钟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8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refresh-token-countdown</w:t>
            </w:r>
          </w:p>
        </w:tc>
        <w:tc>
          <w:tcPr>
            <w:tcW w:w="683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刷新token倒计时，默认5分钟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8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transition-second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683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失效token的过渡时间，主要防止刷新token时存在并发请求，后续token重复刷新问题，默认2分钟。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6.3根据默认参数时间点流程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(1)0~25分钟之内访问后台应用，token不变化。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(2)25分钟之后,使用原token访问后台应用，token会产生变化。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25~60分钟之内,访问过后台应用，则会刷新token。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25~60分钟之内,没有访问过后台应用，则原token会过期，需要重新登陆获取token。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假设第30分钟访问：①第30分钟产生新token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②30~32分钟，旧token仍有效(处理并发请求，重复刷新问题)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③32分钟之后，旧token无效，只能使用新token访问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产生新token会存放在response header 中，前端可通过判断response header中是否携带token值，判断token是否进行过刷新。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注意：支持用户并发访问,即同一个用户可同时产生多个token并发访问系统。Token缓存中按照&gt;&gt;用户名+token值 生成缓存Key值。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Shiro权限控制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7.1配置文件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2839085"/>
            <wp:effectExtent l="0" t="0" r="7620" b="184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 w:line="26" w:lineRule="atLeast"/>
        <w:ind w:left="0" w:right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 xml:space="preserve">注意: </w:t>
      </w:r>
      <w: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enable：设置为false时，不会加载shiro配置，后台不会拦截访问请求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6" w:lineRule="atLeas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>shiro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：Shiro权限配置，对应ShiroProperties.java属性配置类，目标配置类：ShiroConfig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6" w:lineRule="atLeas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>anon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：配置不需要权限校验的路径，接受集合数组对象，每行可写单个或多个路径，使用逗号隔开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6" w:lineRule="atLeast"/>
        <w:rPr>
          <w:rFonts w:hint="eastAsia"/>
          <w:lang w:val="en-US" w:eastAsia="zh-CN"/>
        </w:rPr>
      </w:pP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>filter-chain-definitions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：路径权限配置，值为anon时：不需要校验，等同于上面的anon配置，也可以指定其它权限过滤器名称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 配置类</w:t>
      </w:r>
    </w:p>
    <w:p>
      <w:r>
        <w:drawing>
          <wp:inline distT="0" distB="0" distL="114300" distR="114300">
            <wp:extent cx="5269230" cy="2839085"/>
            <wp:effectExtent l="0" t="0" r="7620" b="184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 主要类及配置说明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Ream 主要包含两个，DbReam和JwtReam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DbReam&gt;&gt;前端调用/login 接口获取token时，根据传入的用户名+密码从数据库中进行认证，认证通过，则产生token,同时按照[用户名+token]为key值 存放在后端token缓存中,同时将用户登陆信息(包含权限相关)按照[用户名]为key值存放在后端user缓存中,然后将token存放在response header中返回给前端。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JwtReam&gt;&gt;前端对后端的接口调用，都需要在request header中携带token值方可操作。[原理通过过滤器，详细参考类JwtFilter]。通过[用户名+token](其中用户名通过token获取)从后端token缓存中进行校验认证，认证通过则可调用接口。同时从user缓存中，获取登陆用户信息（主要是权限信息），从而可以通过shiro对操作接口的权限控制（注解或编码方式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注意：如果用户更新了权限信息，则需要重新登陆获取token方可生效。因为只有调用/login接口，才是从数据库获取权限信息，然后存放缓存，后续权限信息从缓存中获取。</w:t>
      </w:r>
    </w:p>
    <w:p>
      <w:pPr>
        <w:rPr>
          <w:rFonts w:hint="eastAsia"/>
          <w:b/>
          <w:bCs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 shiro权限注解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可在方法上添加@RequiresRoles,@RequiresPermissions等注解实现对接口的权限控制。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更多参考：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"https://www.w3cschool.cn/shiro/"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https://www.w3cschool.cn/shiro/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Swagger/knife4j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Swagger2 路径：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"http://47.105.159.10:8888/api/swagger-ui.html"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</w:t>
      </w:r>
      <w:r>
        <w:rPr>
          <w:rStyle w:val="11"/>
          <w:rFonts w:hint="eastAsia" w:ascii="宋体" w:hAnsi="宋体" w:eastAsia="宋体" w:cs="宋体"/>
          <w:sz w:val="24"/>
          <w:szCs w:val="24"/>
          <w:lang w:val="en-US" w:eastAsia="zh-CN"/>
        </w:rPr>
        <w:t>[ip</w:t>
      </w:r>
      <w:r>
        <w:rPr>
          <w:rStyle w:val="11"/>
          <w:rFonts w:ascii="宋体" w:hAnsi="宋体" w:eastAsia="宋体" w:cs="宋体"/>
          <w:sz w:val="24"/>
          <w:szCs w:val="24"/>
        </w:rPr>
        <w:t>:</w:t>
      </w:r>
      <w:r>
        <w:rPr>
          <w:rStyle w:val="11"/>
          <w:rFonts w:hint="eastAsia" w:ascii="宋体" w:hAnsi="宋体" w:eastAsia="宋体" w:cs="宋体"/>
          <w:sz w:val="24"/>
          <w:szCs w:val="24"/>
          <w:lang w:val="en-US" w:eastAsia="zh-CN"/>
        </w:rPr>
        <w:t>port</w:t>
      </w:r>
      <w:r>
        <w:rPr>
          <w:rStyle w:val="11"/>
          <w:rFonts w:ascii="宋体" w:hAnsi="宋体" w:eastAsia="宋体" w:cs="宋体"/>
          <w:sz w:val="24"/>
          <w:szCs w:val="24"/>
        </w:rPr>
        <w:t>/</w:t>
      </w:r>
      <w:r>
        <w:rPr>
          <w:rStyle w:val="11"/>
          <w:rFonts w:hint="eastAsia" w:ascii="宋体" w:hAnsi="宋体" w:eastAsia="宋体" w:cs="宋体"/>
          <w:sz w:val="24"/>
          <w:szCs w:val="24"/>
          <w:lang w:val="en-US" w:eastAsia="zh-CN"/>
        </w:rPr>
        <w:t>context-path]</w:t>
      </w:r>
      <w:r>
        <w:rPr>
          <w:rStyle w:val="11"/>
          <w:rFonts w:ascii="宋体" w:hAnsi="宋体" w:eastAsia="宋体" w:cs="宋体"/>
          <w:sz w:val="24"/>
          <w:szCs w:val="24"/>
        </w:rPr>
        <w:t>/swagger-ui.html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Knife4j路径：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"http://47.105.159.10:8888/api/doc.html" \l "/home"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</w:t>
      </w:r>
      <w:r>
        <w:rPr>
          <w:rStyle w:val="11"/>
          <w:rFonts w:hint="eastAsia" w:ascii="宋体" w:hAnsi="宋体" w:eastAsia="宋体" w:cs="宋体"/>
          <w:sz w:val="24"/>
          <w:szCs w:val="24"/>
          <w:lang w:val="en-US" w:eastAsia="zh-CN"/>
        </w:rPr>
        <w:t>[ip:port</w:t>
      </w:r>
      <w:r>
        <w:rPr>
          <w:rStyle w:val="11"/>
          <w:rFonts w:ascii="宋体" w:hAnsi="宋体" w:eastAsia="宋体" w:cs="宋体"/>
          <w:sz w:val="24"/>
          <w:szCs w:val="24"/>
        </w:rPr>
        <w:t>/</w:t>
      </w:r>
      <w:r>
        <w:rPr>
          <w:rStyle w:val="11"/>
          <w:rFonts w:hint="eastAsia" w:ascii="宋体" w:hAnsi="宋体" w:eastAsia="宋体" w:cs="宋体"/>
          <w:sz w:val="24"/>
          <w:szCs w:val="24"/>
          <w:lang w:val="en-US" w:eastAsia="zh-CN"/>
        </w:rPr>
        <w:t>context-path]</w:t>
      </w:r>
      <w:r>
        <w:rPr>
          <w:rStyle w:val="11"/>
          <w:rFonts w:ascii="宋体" w:hAnsi="宋体" w:eastAsia="宋体" w:cs="宋体"/>
          <w:sz w:val="24"/>
          <w:szCs w:val="24"/>
        </w:rPr>
        <w:t>/doc.html#/home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用户名/密码： admin/admin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与前端集成</w:t>
      </w: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token获取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token获取后端接口：[context-path]/login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建议集成在用户登陆操作方法中。前端登陆执行后,开启新线程调用token获取接口，获取到token后，将token存放在前端缓存中。</w:t>
      </w: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接口操作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建议编写rest请求工具类，（resttemplate）工具类主要包含以下要点：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统一从前端缓存中获取当前用户的token值，将其放入 requrest header中。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统一使用该工具类调用后端接口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统一处理response请求，判断其header中是否存在token属性，如果存在，说明该token已经自动延期刷新，然后将新token值替换到用户的前端缓存中。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token失效(手动)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token失效后端接口：[context-path]/logout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建议集成在用户退出操作方法中。前端登出执行后,开启新线程调用token失效接口，则该token会从后端框架缓存中删除，从而失效。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B4F1AEB"/>
    <w:multiLevelType w:val="singleLevel"/>
    <w:tmpl w:val="CB4F1AEB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005C251C"/>
    <w:multiLevelType w:val="multilevel"/>
    <w:tmpl w:val="005C251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43C02FD2"/>
    <w:multiLevelType w:val="multilevel"/>
    <w:tmpl w:val="43C02FD2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3">
    <w:nsid w:val="44587326"/>
    <w:multiLevelType w:val="singleLevel"/>
    <w:tmpl w:val="44587326"/>
    <w:lvl w:ilvl="0" w:tentative="0">
      <w:start w:val="3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38D745A"/>
    <w:rsid w:val="43613FEC"/>
    <w:rsid w:val="456F30AF"/>
    <w:rsid w:val="73F72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qFormat/>
    <w:uiPriority w:val="0"/>
    <w:rPr>
      <w:color w:val="0000FF"/>
      <w:u w:val="single"/>
    </w:rPr>
  </w:style>
  <w:style w:type="character" w:styleId="12">
    <w:name w:val="HTML Code"/>
    <w:basedOn w:val="9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小鱼儿遇上猫</cp:lastModifiedBy>
  <dcterms:modified xsi:type="dcterms:W3CDTF">2020-12-24T07:33:07Z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