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d3k73pqthsx" w:id="0"/>
      <w:bookmarkEnd w:id="0"/>
      <w:r w:rsidDel="00000000" w:rsidR="00000000" w:rsidRPr="00000000">
        <w:rPr>
          <w:rtl w:val="0"/>
        </w:rPr>
        <w:t xml:space="preserve">Portable Hadoop Environment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2av9mjysq52" w:id="1"/>
      <w:bookmarkEnd w:id="1"/>
      <w:r w:rsidDel="00000000" w:rsidR="00000000" w:rsidRPr="00000000">
        <w:rPr>
          <w:rtl w:val="0"/>
        </w:rPr>
        <w:t xml:space="preserve">Mission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mission of the Portable Hadoop Environment (PHE) is to provide data professionals with a way to rapidly provision a barebones hadoop environment that allows the importing, manipulating and dissecting of data all from any machine with Docker installed.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pr1e5a6cc47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PHE has been designed to be a minimalistic environment to focus on the core aspects of the Hadoop ecosystem while still resembling a realistic architecture.  While there are intentions of adding more components through a modular container design, the essentials will always be the center of focus.  HDFS, YARN, Hive, Spark represent the core components of the PHE.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the current iteration uses Hadoop and Hive 2, future development of the PHE will include Hadoop and Hive 3 as its own independent environment.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rssr4n2paey" w:id="3"/>
      <w:bookmarkEnd w:id="3"/>
      <w:r w:rsidDel="00000000" w:rsidR="00000000" w:rsidRPr="00000000">
        <w:rPr>
          <w:rtl w:val="0"/>
        </w:rPr>
        <w:t xml:space="preserve">Uses for the PHE: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Development or Continuous Integration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nsy1wj0fmne" w:id="4"/>
      <w:bookmarkEnd w:id="4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 Bytnar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tim.bytnar@daugherty.com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ubn6f78yux6" w:id="5"/>
      <w:bookmarkEnd w:id="5"/>
      <w:r w:rsidDel="00000000" w:rsidR="00000000" w:rsidRPr="00000000">
        <w:rPr>
          <w:rtl w:val="0"/>
        </w:rPr>
        <w:t xml:space="preserve">Container Architecture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Hive/Hadoop environment consists of six containers: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Namenode - The primary (master) Hadoop container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Datanode - The secondary (worker) Hadoop container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Hive-server - HiveServer2 and all Hive executables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Hive-metastore - Hive Metastore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Hive-metastore-postgresql - PostgreSQL (Metastore Database)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- Jupyter Notebook and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Spark environment consists of three containers: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 Master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 Worker 1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 Worker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rabu5mdq4aee" w:id="6"/>
      <w:bookmarkEnd w:id="6"/>
      <w:r w:rsidDel="00000000" w:rsidR="00000000" w:rsidRPr="00000000">
        <w:rPr>
          <w:rtl w:val="0"/>
        </w:rPr>
        <w:t xml:space="preserve">Future Plans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the client containers capabilities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Hadoop ecosystem components as modular containers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Cross Platform Compatibility and Reliability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Performance “Edition”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Security “Edition”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m.bytnar@daugherty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