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E3" w:rsidRPr="003D6AE3" w:rsidRDefault="003D6AE3" w:rsidP="003D6AE3">
      <w:pPr>
        <w:jc w:val="center"/>
        <w:rPr>
          <w:rFonts w:ascii="Consolas" w:hAnsi="Consolas" w:cs="Consolas"/>
          <w:b/>
        </w:rPr>
      </w:pPr>
      <w:r>
        <w:rPr>
          <w:rFonts w:ascii="Consolas" w:cs="Consolas"/>
          <w:b/>
        </w:rPr>
        <w:t>架构是业务数据与业务逻辑之间的折衷关系</w:t>
      </w:r>
      <w:r w:rsidR="009A0E97">
        <w:rPr>
          <w:rFonts w:ascii="Consolas" w:hAnsi="Consolas" w:cs="Consolas"/>
          <w:color w:val="383838"/>
          <w:kern w:val="0"/>
          <w:sz w:val="18"/>
          <w:szCs w:val="18"/>
        </w:rPr>
        <w:tab/>
      </w:r>
    </w:p>
    <w:p w:rsidR="009A0E97" w:rsidRDefault="009A0E97" w:rsidP="003D6AE3">
      <w:pPr>
        <w:widowControl/>
        <w:spacing w:line="377" w:lineRule="atLeast"/>
        <w:ind w:firstLine="420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分层：根据模块相似性，横向划分层次。</w:t>
      </w:r>
    </w:p>
    <w:p w:rsidR="0049051E" w:rsidRDefault="0049051E" w:rsidP="007F38DE">
      <w:pPr>
        <w:widowControl/>
        <w:spacing w:line="377" w:lineRule="atLeast"/>
        <w:jc w:val="left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分割：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根据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子模块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差异性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，纵向切分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757600" w:rsidRPr="00757600" w:rsidRDefault="00757600" w:rsidP="007F38DE">
      <w:pPr>
        <w:widowControl/>
        <w:spacing w:line="377" w:lineRule="atLeast"/>
        <w:jc w:val="left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Pr="00757600">
        <w:rPr>
          <w:rFonts w:ascii="Consolas" w:hAnsi="Consolas" w:cs="Consolas" w:hint="eastAsia"/>
          <w:color w:val="383838"/>
          <w:kern w:val="0"/>
          <w:sz w:val="18"/>
          <w:szCs w:val="18"/>
        </w:rPr>
        <w:t>集群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：相同的模块部署在不同的机器上，构成一个集群</w:t>
      </w:r>
      <w:r w:rsidR="00244ADC">
        <w:rPr>
          <w:rFonts w:ascii="Consolas" w:hAnsi="Consolas" w:cs="Consolas" w:hint="eastAsia"/>
          <w:color w:val="383838"/>
          <w:kern w:val="0"/>
          <w:sz w:val="18"/>
          <w:szCs w:val="18"/>
        </w:rPr>
        <w:t>，通过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负载均衡向外服务。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冗余</w:t>
      </w:r>
      <w:r w:rsidR="009D01AB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757600" w:rsidRDefault="007F38D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分布式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不同的模块部署在不同的机器上</w:t>
      </w:r>
      <w:r w:rsidR="00800989">
        <w:rPr>
          <w:rFonts w:ascii="Consolas" w:hAnsi="Consolas" w:cs="Consolas" w:hint="eastAsia"/>
          <w:color w:val="383838"/>
          <w:kern w:val="0"/>
          <w:sz w:val="18"/>
          <w:szCs w:val="18"/>
        </w:rPr>
        <w:t>，远程调用协同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分工合作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3D6AE3" w:rsidRPr="00A409AB" w:rsidRDefault="003D6AE3" w:rsidP="007F38DE">
      <w:pPr>
        <w:widowControl/>
        <w:spacing w:line="377" w:lineRule="atLeast"/>
        <w:jc w:val="left"/>
        <w:rPr>
          <w:rFonts w:ascii="Consolas" w:hAnsi="Consolas" w:cs="Consolas" w:hint="eastAsia"/>
          <w:color w:val="383838"/>
          <w:kern w:val="0"/>
          <w:sz w:val="18"/>
          <w:szCs w:val="18"/>
        </w:rPr>
      </w:pPr>
    </w:p>
    <w:p w:rsidR="00B83E76" w:rsidRPr="00B83E76" w:rsidRDefault="00B83E7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>Performance</w:t>
      </w:r>
    </w:p>
    <w:p w:rsidR="00102784" w:rsidRDefault="00102784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  <w:r w:rsidR="008F3C3D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cache</w:t>
      </w:r>
      <w:r w:rsidR="008F3C3D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8E33EA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场景：读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写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少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、</w:t>
      </w:r>
      <w:r w:rsidR="00ED023C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很少变化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的数据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8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业务集中在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2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数据上</w:t>
      </w:r>
      <w:r w:rsidR="002653A2">
        <w:rPr>
          <w:rFonts w:ascii="Consolas" w:hAnsi="Consolas" w:cs="Consolas" w:hint="eastAsia"/>
          <w:color w:val="383838"/>
          <w:kern w:val="0"/>
          <w:sz w:val="18"/>
          <w:szCs w:val="18"/>
        </w:rPr>
        <w:t>，空间换时间。</w:t>
      </w:r>
    </w:p>
    <w:p w:rsidR="00102784" w:rsidRPr="00102784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本地缓存、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CDN</w:t>
      </w:r>
    </w:p>
    <w:p w:rsidR="00102784" w:rsidRDefault="008F3C3D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IO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多路复用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8F3C3D">
        <w:rPr>
          <w:rFonts w:ascii="Consolas" w:hAnsi="Consolas" w:cs="Consolas"/>
          <w:color w:val="383838"/>
          <w:kern w:val="0"/>
          <w:sz w:val="18"/>
          <w:szCs w:val="18"/>
        </w:rPr>
        <w:t>multiplexing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传输任务数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45799E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信道数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应用：线程池、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TCP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链接</w:t>
      </w:r>
    </w:p>
    <w:p w:rsidR="00CF6766" w:rsidRDefault="00CF6766" w:rsidP="00CF6766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压缩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CF6766">
        <w:rPr>
          <w:rFonts w:ascii="Consolas" w:hAnsi="Consolas" w:cs="Consolas"/>
          <w:color w:val="383838"/>
          <w:kern w:val="0"/>
          <w:sz w:val="18"/>
          <w:szCs w:val="18"/>
        </w:rPr>
        <w:t>compression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3C3ADD" w:rsidRDefault="003C3ADD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场景：压缩开销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&lt;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传输开销</w:t>
      </w:r>
    </w:p>
    <w:p w:rsidR="00724711" w:rsidRDefault="00724711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243893">
        <w:rPr>
          <w:rFonts w:ascii="Consolas" w:hAnsi="Consolas" w:cs="Consolas" w:hint="eastAsia"/>
          <w:color w:val="383838"/>
          <w:kern w:val="0"/>
          <w:sz w:val="18"/>
          <w:szCs w:val="18"/>
        </w:rPr>
        <w:t>git</w:t>
      </w:r>
    </w:p>
    <w:p w:rsidR="007A0C47" w:rsidRPr="00CF6766" w:rsidRDefault="007A0C47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High A</w:t>
      </w:r>
      <w:r w:rsidRPr="00FA1209">
        <w:rPr>
          <w:rFonts w:ascii="Consolas" w:hAnsi="Consolas" w:cs="Consolas"/>
          <w:color w:val="383838"/>
          <w:kern w:val="0"/>
          <w:sz w:val="24"/>
          <w:szCs w:val="18"/>
        </w:rPr>
        <w:t>vailability</w:t>
      </w:r>
    </w:p>
    <w:p w:rsidR="00FA1209" w:rsidRPr="000627B5" w:rsidRDefault="004D60B1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无状态化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服务冗余，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数据备份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，针对容错性问题</w:t>
      </w:r>
    </w:p>
    <w:p w:rsidR="00FA1209" w:rsidRPr="00B83E76" w:rsidRDefault="0002344D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02344D">
        <w:rPr>
          <w:rFonts w:ascii="Consolas" w:hAnsi="Consolas" w:cs="Consolas"/>
          <w:color w:val="383838"/>
          <w:kern w:val="0"/>
          <w:sz w:val="24"/>
          <w:szCs w:val="18"/>
        </w:rPr>
        <w:t>Scalability</w:t>
      </w:r>
    </w:p>
    <w:p w:rsidR="00FA1209" w:rsidRPr="005E4492" w:rsidRDefault="009D01AB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向集群中增加机器</w:t>
      </w:r>
      <w:r w:rsidR="00E803CE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业务量增长的问题</w:t>
      </w:r>
    </w:p>
    <w:p w:rsidR="00FA1209" w:rsidRPr="00B83E76" w:rsidRDefault="00B236E7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B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usiness</w:t>
      </w:r>
      <w:r>
        <w:rPr>
          <w:rFonts w:ascii="Consolas" w:hAnsi="Consolas" w:cs="Consolas"/>
          <w:color w:val="383838"/>
          <w:kern w:val="0"/>
          <w:sz w:val="24"/>
          <w:szCs w:val="18"/>
        </w:rPr>
        <w:t xml:space="preserve"> 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Extensibility</w:t>
      </w:r>
    </w:p>
    <w:p w:rsidR="00FA1209" w:rsidRPr="00A33939" w:rsidRDefault="00844785" w:rsidP="00A33939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业务解耦</w:t>
      </w:r>
      <w:r w:rsidR="004F3CDA">
        <w:rPr>
          <w:rFonts w:ascii="Consolas" w:hAnsi="Consolas" w:cs="Consolas" w:hint="eastAsia"/>
          <w:color w:val="383838"/>
          <w:kern w:val="0"/>
          <w:sz w:val="18"/>
          <w:szCs w:val="18"/>
        </w:rPr>
        <w:t>划分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新增业务的问题</w:t>
      </w:r>
    </w:p>
    <w:p w:rsidR="00FA1209" w:rsidRPr="00FA1209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FA1209">
        <w:rPr>
          <w:rFonts w:ascii="Consolas" w:hAnsi="Consolas" w:cs="Consolas" w:hint="eastAsia"/>
          <w:color w:val="383838"/>
          <w:kern w:val="0"/>
          <w:sz w:val="24"/>
          <w:szCs w:val="18"/>
        </w:rPr>
        <w:t>Security</w:t>
      </w:r>
    </w:p>
    <w:p w:rsidR="00FA1209" w:rsidRDefault="00FA1209" w:rsidP="00FA1209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FA1209" w:rsidRDefault="00FA1209" w:rsidP="00B83E76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B83E76" w:rsidRDefault="00B83E7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-----------------------------</w:t>
      </w:r>
      <w:bookmarkStart w:id="0" w:name="_GoBack"/>
      <w:bookmarkEnd w:id="0"/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------------------------------------------------------</w:t>
      </w:r>
    </w:p>
    <w:p w:rsidR="00191A66" w:rsidRPr="00B83E76" w:rsidRDefault="00191A6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Micro</w:t>
      </w: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 xml:space="preserve"> </w:t>
      </w: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Service</w:t>
      </w:r>
    </w:p>
    <w:p w:rsid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微服务开发流程</w:t>
      </w:r>
      <w:r w:rsidR="00C25082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：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>1</w:t>
      </w: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 xml:space="preserve">. 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设计：接口、模型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2. 编码：代码版本库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 xml:space="preserve">3. 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流水线构建：编译打包、部署环境、</w:t>
      </w:r>
      <w:r w:rsidR="006E383C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用例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验证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4. 发布</w:t>
      </w:r>
      <w:r w:rsidR="004A007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版本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微服务集成：</w:t>
      </w:r>
    </w:p>
    <w:p w:rsidR="00191A66" w:rsidRPr="00191A66" w:rsidRDefault="000D1579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ab/>
      </w:r>
      <w:r w:rsidR="00191A66"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服务容器化、路由转发、分层管理、容错机制</w:t>
      </w:r>
    </w:p>
    <w:p w:rsidR="000D1579" w:rsidRPr="00191A66" w:rsidRDefault="000D1579" w:rsidP="00191A66">
      <w:pPr>
        <w:rPr>
          <w:rFonts w:asciiTheme="minorEastAsia" w:hAnsiTheme="minorEastAsia"/>
          <w:sz w:val="18"/>
          <w:szCs w:val="18"/>
        </w:rPr>
      </w:pPr>
    </w:p>
    <w:sectPr w:rsidR="000D1579" w:rsidRPr="0019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74" w:rsidRDefault="004C6074" w:rsidP="00191A66">
      <w:r>
        <w:separator/>
      </w:r>
    </w:p>
  </w:endnote>
  <w:endnote w:type="continuationSeparator" w:id="0">
    <w:p w:rsidR="004C6074" w:rsidRDefault="004C6074" w:rsidP="0019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74" w:rsidRDefault="004C6074" w:rsidP="00191A66">
      <w:r>
        <w:separator/>
      </w:r>
    </w:p>
  </w:footnote>
  <w:footnote w:type="continuationSeparator" w:id="0">
    <w:p w:rsidR="004C6074" w:rsidRDefault="004C6074" w:rsidP="0019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2CFF"/>
    <w:multiLevelType w:val="hybridMultilevel"/>
    <w:tmpl w:val="3488B1EA"/>
    <w:lvl w:ilvl="0" w:tplc="C7CA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82D37"/>
    <w:multiLevelType w:val="hybridMultilevel"/>
    <w:tmpl w:val="69FA22BA"/>
    <w:lvl w:ilvl="0" w:tplc="19E818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E2291"/>
    <w:multiLevelType w:val="hybridMultilevel"/>
    <w:tmpl w:val="FBA0DC2E"/>
    <w:lvl w:ilvl="0" w:tplc="62CCA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1445B"/>
    <w:multiLevelType w:val="hybridMultilevel"/>
    <w:tmpl w:val="50625882"/>
    <w:lvl w:ilvl="0" w:tplc="242E6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A21536"/>
    <w:multiLevelType w:val="hybridMultilevel"/>
    <w:tmpl w:val="D0AE3F6E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D43CB"/>
    <w:multiLevelType w:val="hybridMultilevel"/>
    <w:tmpl w:val="DBF012D0"/>
    <w:lvl w:ilvl="0" w:tplc="166EC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A66"/>
    <w:rsid w:val="0000629A"/>
    <w:rsid w:val="0002344D"/>
    <w:rsid w:val="000627B5"/>
    <w:rsid w:val="000B52AD"/>
    <w:rsid w:val="000D1579"/>
    <w:rsid w:val="000E3067"/>
    <w:rsid w:val="000E3F28"/>
    <w:rsid w:val="000F3998"/>
    <w:rsid w:val="00102784"/>
    <w:rsid w:val="00173B2E"/>
    <w:rsid w:val="00191A66"/>
    <w:rsid w:val="00197072"/>
    <w:rsid w:val="00243893"/>
    <w:rsid w:val="00244ADC"/>
    <w:rsid w:val="00254714"/>
    <w:rsid w:val="00262000"/>
    <w:rsid w:val="002653A2"/>
    <w:rsid w:val="002905BA"/>
    <w:rsid w:val="002C3A25"/>
    <w:rsid w:val="002D1874"/>
    <w:rsid w:val="003218E2"/>
    <w:rsid w:val="003C3ADD"/>
    <w:rsid w:val="003D6AE3"/>
    <w:rsid w:val="0045799E"/>
    <w:rsid w:val="0049051E"/>
    <w:rsid w:val="004A007E"/>
    <w:rsid w:val="004C6074"/>
    <w:rsid w:val="004D60B1"/>
    <w:rsid w:val="004E1F43"/>
    <w:rsid w:val="004F3CDA"/>
    <w:rsid w:val="005B5AA7"/>
    <w:rsid w:val="005C5362"/>
    <w:rsid w:val="005E4492"/>
    <w:rsid w:val="006045C1"/>
    <w:rsid w:val="00615FB3"/>
    <w:rsid w:val="006319D6"/>
    <w:rsid w:val="00633E6E"/>
    <w:rsid w:val="006729D4"/>
    <w:rsid w:val="006E383C"/>
    <w:rsid w:val="00724711"/>
    <w:rsid w:val="007512A6"/>
    <w:rsid w:val="00757600"/>
    <w:rsid w:val="007A0C47"/>
    <w:rsid w:val="007F38DE"/>
    <w:rsid w:val="007F4874"/>
    <w:rsid w:val="00800989"/>
    <w:rsid w:val="00844785"/>
    <w:rsid w:val="008724CB"/>
    <w:rsid w:val="008B5E67"/>
    <w:rsid w:val="008E33EA"/>
    <w:rsid w:val="008F3C3D"/>
    <w:rsid w:val="009047D1"/>
    <w:rsid w:val="00920804"/>
    <w:rsid w:val="009A0E97"/>
    <w:rsid w:val="009D01AB"/>
    <w:rsid w:val="00A33939"/>
    <w:rsid w:val="00A409AB"/>
    <w:rsid w:val="00AF0284"/>
    <w:rsid w:val="00B236E7"/>
    <w:rsid w:val="00B83E76"/>
    <w:rsid w:val="00BE1648"/>
    <w:rsid w:val="00C25082"/>
    <w:rsid w:val="00C6153E"/>
    <w:rsid w:val="00C632D6"/>
    <w:rsid w:val="00CA4D1A"/>
    <w:rsid w:val="00CF6766"/>
    <w:rsid w:val="00DE3AB8"/>
    <w:rsid w:val="00E04652"/>
    <w:rsid w:val="00E532B6"/>
    <w:rsid w:val="00E721FE"/>
    <w:rsid w:val="00E803CE"/>
    <w:rsid w:val="00ED023C"/>
    <w:rsid w:val="00F34F08"/>
    <w:rsid w:val="00F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6BA12"/>
  <w15:docId w15:val="{57D9F959-6F4B-4A09-95E6-CC468BF7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91A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91A66"/>
    <w:rPr>
      <w:sz w:val="18"/>
      <w:szCs w:val="18"/>
    </w:rPr>
  </w:style>
  <w:style w:type="paragraph" w:styleId="a7">
    <w:name w:val="List Paragraph"/>
    <w:basedOn w:val="a"/>
    <w:uiPriority w:val="34"/>
    <w:qFormat/>
    <w:rsid w:val="0006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s</cp:lastModifiedBy>
  <cp:revision>94</cp:revision>
  <dcterms:created xsi:type="dcterms:W3CDTF">2018-09-29T12:36:00Z</dcterms:created>
  <dcterms:modified xsi:type="dcterms:W3CDTF">2018-10-02T15:24:00Z</dcterms:modified>
</cp:coreProperties>
</file>