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Bhutan Banking Document Management System</w:t>
      </w:r>
    </w:p>
    <w:p>
      <w:r>
        <w:rPr>
          <w:rFonts w:ascii="Arial" w:cs="Arial" w:eastAsia="Arial" w:hAnsi="Arial"/>
          <w:color w:val="555555"/>
          <w:sz w:val="22"/>
          <w:szCs w:val="22"/>
        </w:rPr>
        <w:t xml:space="preserve">Platform Feature Specification  |  63 Features Across 14 Categories</w:t>
      </w:r>
    </w:p>
    <w:p>
      <w:pPr>
        <w:spacing w:after="30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Prepared for: Royal Monetary Authority (RMA) &amp; Bhutan Banking Sector Stakeholders  |  Classification: Confidential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2200"/>
        <w:gridCol w:w="2960"/>
        <w:gridCol w:w="8000"/>
      </w:tblGrid>
      <w:tr>
        <w:trPr>
          <w:tblHeader/>
        </w:trPr>
        <w:tc>
          <w:tcPr>
            <w:tcW w:type="dxa" w:w="52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2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296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0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368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Document Ingestion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Multi-format Upload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PDF, DOCX, XLSX, JPEG, PNG, TIFF via web portal, mobile app, or API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Bulk Import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Batch document ingestion with ZIP upload and auto-classification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Mobile Capture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Branch officers capture documents via Expo mobile app with camera scan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Drag &amp; Drop Interface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Browser-based drag-and-drop with real-time upload progress</w:t>
            </w:r>
          </w:p>
        </w:tc>
      </w:tr>
      <w:tr>
        <w:tc>
          <w:tcPr>
            <w:tcW w:type="dxa" w:w="1368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AI &amp; OCR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Automated OCR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Amazon Textract extracts text, tables, and key-value pairs from scanned documents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Auto-Classification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ML model auto-classifies documents by type (KYC, loan, contract, etc.)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Data Extraction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Structured field extraction (customer name, CID, account number, dates)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KYC Face Verification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Amazon Rekognition matches customer photo ID against live capture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Duplicate Detection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SHA-256 + perceptual hash (pHash) + fuzzy matching prevents duplicate uploads</w:t>
            </w:r>
          </w:p>
        </w:tc>
      </w:tr>
      <w:tr>
        <w:tc>
          <w:tcPr>
            <w:tcW w:type="dxa" w:w="1368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D5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GenAI / DocBrain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RAG-based Q&amp;A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Ask questions about any document using Amazon Bedrock and Kendra semantic index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Document Summarisation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AI-generated summaries of lengthy contracts and compliance documents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NLP Entity Recognition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Amazon Comprehend extracts entities (dates, amounts, names, locations)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Dzongkha Translation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Amazon Translate supports Bhutan's national language for document content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Fraud Pattern Detection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Amazon Fraud Detector flags suspicious document patterns and ring networks</w:t>
            </w:r>
          </w:p>
        </w:tc>
      </w:tr>
      <w:tr>
        <w:tc>
          <w:tcPr>
            <w:tcW w:type="dxa" w:w="1368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CD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Search &amp; Discovery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Full-Text Search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FTS5 virtual table indexed on document name, customer CID, OCR text, and notes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Semantic Search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Amazon Kendra enables natural-language document queries across all content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Saved Searches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Users save and reuse frequent search queries with custom filters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Advanced Filters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Filter by document type, date range, branch, status, customer ID, risk band</w:t>
            </w:r>
          </w:p>
        </w:tc>
      </w:tr>
      <w:tr>
        <w:tc>
          <w:tcPr>
            <w:tcW w:type="dxa" w:w="1368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D5E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Workflow &amp; Approval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Maker-Checker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Four-eye principle: Maker submits, Checker approves or rejects with escalation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Multi-step Workflows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Configurable BPMN-based approval chains with branching and parallel steps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Escalation Rules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Auto-escalate overdue tasks; time-based SLA enforcement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Workflow History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Full audit trail of every approval action with timestamps and comments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Email &amp; Push Alerts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Notifications via Amazon SNS/SES on task assignment, approval, or rejection</w:t>
            </w:r>
          </w:p>
        </w:tc>
      </w:tr>
      <w:tr>
        <w:tc>
          <w:tcPr>
            <w:tcW w:type="dxa" w:w="1368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D5D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Security &amp; Access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Role-Based Access Control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Roles: Doc Admin, Maker, Checker, Viewer, Auditor with granular permissions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Attribute-Based Access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OPA policy engine enforces tenant, branch, risk-band, and after-hours rules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Multi-factor Auth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Amazon Cognito MFA with TOTP or SMS for all portal users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SAML / SSO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Enterprise SSO integration for bank staff via existing identity providers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JWT + API Key Auth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Separate auth schemes for mobile (JWT) and API integrations (API key)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Folder-level Permissions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Granular read/write/delete permissions per folder per user or role</w:t>
            </w:r>
          </w:p>
        </w:tc>
      </w:tr>
      <w:tr>
        <w:tc>
          <w:tcPr>
            <w:tcW w:type="dxa" w:w="1368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Compliance &amp; Retention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Retention Policies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Configurable document retention schedules by document type and regulation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WORM Storage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S3 Object Lock ensures documents cannot be modified or deleted before expiry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RMA Regulatory Reporting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Automated compliance reports formatted for Royal Monetary Authority (RMA)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Audit Manager Integration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AWS Audit Manager maps controls to RMA and banking regulations automatically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AWS Artifact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On-demand access to AWS compliance reports for auditor review</w:t>
            </w:r>
          </w:p>
        </w:tc>
      </w:tr>
      <w:tr>
        <w:tc>
          <w:tcPr>
            <w:tcW w:type="dxa" w:w="1368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4D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Encryption &amp; Data Protection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Encryption at Rest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AES-256 via AWS KMS; all documents, metadata, and audit logs encrypted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Encryption in Transit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TLS 1.3 enforced across all API and portal connections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FIPS 140-2 HSM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AWS CloudHSM for cryptographic key management in regulated workflows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PII Detection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Amazon Macie automatically detects and alerts on sensitive PII in documents</w:t>
            </w:r>
          </w:p>
        </w:tc>
      </w:tr>
      <w:tr>
        <w:tc>
          <w:tcPr>
            <w:tcW w:type="dxa" w:w="1368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Audit &amp; Monitoring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Immutable Audit Log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Every action (view, upload, download, approve, delete) logged to DynamoDB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CloudTrail API Logging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Every AWS API call recorded for forensic investigation and compliance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Real-time Dashboards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CloudWatch dashboards with SLA metrics, upload volumes, and error rates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Security Hub (CSPM)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Continuous cloud security posture monitoring with automated findings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GuardDuty Threat Intel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AI-powered threat detection for account compromise and unusual access patterns</w:t>
            </w:r>
          </w:p>
        </w:tc>
      </w:tr>
      <w:tr>
        <w:tc>
          <w:tcPr>
            <w:tcW w:type="dxa" w:w="1368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D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Annotations &amp; Collaboration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Document Annotations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Users add inline comments, highlights, and sticky notes on documents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Digital Signatures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Signature capture and attachment for approvals and attestations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Version Control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Full document version history with diff tracking and rollback capability</w:t>
            </w:r>
          </w:p>
        </w:tc>
      </w:tr>
      <w:tr>
        <w:tc>
          <w:tcPr>
            <w:tcW w:type="dxa" w:w="1368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DAD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Banking Integrations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TCS BaNCS API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Real-time sync with Bank of Bhutan core banking system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Oracle Flexcube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Document linkage with BNBL core banking loan and account records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Bhutan Financial Switch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Payment document routing through the national ATM/POS network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SWIFT / FIN Messages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Cross-border payment document exchange via SWIFT network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GraphQL API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Flexible query interface for document, workflow, alert, and stats data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Webhook Events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Real-time event push to external systems on document state changes</w:t>
            </w:r>
          </w:p>
        </w:tc>
      </w:tr>
      <w:tr>
        <w:tc>
          <w:tcPr>
            <w:tcW w:type="dxa" w:w="1368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Analytics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Customer Graph Analytics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DFS-based fraud ring detection across shared documents and accounts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Document Metrics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Upload trends, processing times, OCR accuracy rates by branch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Compliance Dashboards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RMA-ready reports on document completeness, expiry, and SLA adherence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Custom Dashboards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Users configure personal dashboards with preferred widgets and KPIs</w:t>
            </w:r>
          </w:p>
        </w:tc>
      </w:tr>
      <w:tr>
        <w:tc>
          <w:tcPr>
            <w:tcW w:type="dxa" w:w="1368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8E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Data Sovereignty &amp; DR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On-Premises Archive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Sensitive documents replicated to Thimphu Data Center via Direct Connect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Disaster Recovery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Hot standby at Paro Data Center; RTO &lt; 4 hrs, RPO &lt; 1 hr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Hybrid Connectivity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AWS Direct Connect (2 Gbps dedicated) for low-latency on-prem integration</w:t>
            </w:r>
          </w:p>
        </w:tc>
      </w:tr>
      <w:tr>
        <w:tc>
          <w:tcPr>
            <w:tcW w:type="dxa" w:w="1368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EDD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Scalability &amp; Performance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Auto-scaling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Fargate tasks scale automatically on CPU and memory thresholds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CDN Acceleration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CloudFront delivers portal assets with edge caching globally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Redis Caching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ElastiCache Redis caches frequently accessed documents and search results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Load Testing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k6 load test suite validated to 50 concurrent users over 2-minute bursts</w:t>
            </w:r>
          </w:p>
        </w:tc>
      </w:tr>
    </w:tbl>
    <w:p>
      <w:pPr>
        <w:spacing w:before="200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Total: 63 features  |  14 functional categories  |  AWS Singapore Region (ap-southeast-1)  |  On-Premises: Thimphu DC + Paro DR</w:t>
      </w:r>
    </w:p>
    <w:sectPr>
      <w:headerReference w:type="default" r:id="rId7"/>
      <w:footerReference w:type="default" r:id="rId8"/>
      <w:pgSz w:w="15840" w:h="12240" w:orient="landscape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</w:pPr>
    <w:r>
      <w:rPr>
        <w:rFonts w:ascii="Arial" w:cs="Arial" w:eastAsia="Arial" w:hAnsi="Arial"/>
        <w:color w:val="666666"/>
        <w:sz w:val="16"/>
        <w:szCs w:val="16"/>
      </w:rPr>
      <w:t xml:space="preserve">National Bank of Egypt (NBE) DMS  |  Bhutan Banking Sector  |  May 2026     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</w:pPr>
    <w:r>
      <w:rPr>
        <w:rFonts w:ascii="Arial" w:cs="Arial" w:eastAsia="Arial" w:hAnsi="Arial"/>
        <w:color w:val="1B3A6B"/>
        <w:sz w:val="18"/>
        <w:szCs w:val="18"/>
      </w:rPr>
      <w:t xml:space="preserve">Bhutan Banking DMS  |  Platform Feature Specification</w:t>
    </w:r>
    <w:r>
      <w:rPr>
        <w:rFonts w:ascii="Arial" w:cs="Arial" w:eastAsia="Arial" w:hAnsi="Arial"/>
        <w:b/>
        <w:bCs/>
        <w:color w:val="CC0000"/>
        <w:sz w:val="18"/>
        <w:szCs w:val="18"/>
      </w:rPr>
      <w:t xml:space="preserve">      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00"/>
      <w:outlineLvl w:val="0"/>
    </w:pPr>
    <w:rPr>
      <w:rFonts w:ascii="Arial" w:cs="Arial" w:eastAsia="Arial" w:hAnsi="Arial"/>
      <w:b/>
      <w:bCs/>
      <w:color w:val="1B3A6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16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2026-05-09T10:37:57.770Z</dcterms:created>
  <dcterms:modified xsi:type="dcterms:W3CDTF">2026-05-09T10:37:57.770Z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