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34866" w14:textId="72B7C80F" w:rsidR="005C36DB" w:rsidRDefault="00000000" w:rsidP="00655822">
      <w:pPr>
        <w:pStyle w:val="Titel"/>
      </w:pPr>
      <w:r>
        <w:t>Annotationsrichtlinie Wortarten (POS): Goldstandard</w:t>
      </w:r>
    </w:p>
    <w:p w14:paraId="260E4044" w14:textId="77777777" w:rsidR="00DD3F34" w:rsidRDefault="00DD3F34" w:rsidP="00DD3F34">
      <w:pPr>
        <w:pStyle w:val="berschrift2"/>
      </w:pPr>
      <w:bookmarkStart w:id="0" w:name="_Toc236055660"/>
      <w:bookmarkStart w:id="1" w:name="_Toc236150377"/>
      <w:bookmarkStart w:id="2" w:name="worum-geht-es"/>
      <w:bookmarkStart w:id="3" w:name="zweck-und-stellenwert"/>
      <w:bookmarkStart w:id="4" w:name="Xf26b27c475e6af6d212e905c22b451f71219444"/>
      <w:r>
        <w:t>Worum geht es?</w:t>
      </w:r>
      <w:bookmarkEnd w:id="0"/>
      <w:bookmarkEnd w:id="1"/>
    </w:p>
    <w:p w14:paraId="0BC44035" w14:textId="3C640ADB" w:rsidR="00DD3F34" w:rsidRDefault="00B60D39" w:rsidP="00DD3F34">
      <w:pPr>
        <w:pStyle w:val="FirstParagraph"/>
      </w:pPr>
      <w:r>
        <w:t>Ich</w:t>
      </w:r>
      <w:r w:rsidR="00DD3F34">
        <w:t xml:space="preserve"> untersuche, mit welchen </w:t>
      </w:r>
      <w:r w:rsidR="00E958A7">
        <w:t>Adjektiven</w:t>
      </w:r>
      <w:r w:rsidR="00DD3F34">
        <w:t xml:space="preserve"> Märchenfiguren beschrieben werden. Ein </w:t>
      </w:r>
      <w:r>
        <w:t>Algorithmus</w:t>
      </w:r>
      <w:r w:rsidR="00DD3F34">
        <w:t xml:space="preserve"> soll dafür automatisch erkennen, welche </w:t>
      </w:r>
      <w:r>
        <w:t>verschiedene Typen die einzelnen Wörter</w:t>
      </w:r>
      <w:r w:rsidR="00DD3F34">
        <w:t xml:space="preserve"> </w:t>
      </w:r>
      <w:r>
        <w:t>besitzen</w:t>
      </w:r>
      <w:r w:rsidR="00DD3F34">
        <w:t xml:space="preserve">. Um zu messen, wie gut das </w:t>
      </w:r>
      <w:r>
        <w:t>Modell</w:t>
      </w:r>
      <w:r w:rsidR="00DD3F34">
        <w:t xml:space="preserve"> ist, brauchen </w:t>
      </w:r>
      <w:r>
        <w:t>ich</w:t>
      </w:r>
      <w:r w:rsidR="00DD3F34">
        <w:t xml:space="preserve"> eine von Menschen erstellte Musterlösung, den „Goldstandard”. Genau diese entsteht durch die Markierungen </w:t>
      </w:r>
      <w:r>
        <w:t xml:space="preserve">einzelner Wörter </w:t>
      </w:r>
      <w:r w:rsidR="00DD3F34">
        <w:t>in 150 Sätzen aus 20 Märchen. Diese Arbeit bildet den Maßstab, an dem alles gemessen wird</w:t>
      </w:r>
      <w:r>
        <w:t>. Daher ist besonders wichtig</w:t>
      </w:r>
      <w:r w:rsidR="00DD3F34">
        <w:t xml:space="preserve">: </w:t>
      </w:r>
      <w:r w:rsidR="00DD3F34">
        <w:rPr>
          <w:b/>
          <w:bCs/>
        </w:rPr>
        <w:t>Sorgfalt geht vor Tempo.</w:t>
      </w:r>
    </w:p>
    <w:bookmarkEnd w:id="2"/>
    <w:p w14:paraId="05BE5921" w14:textId="41C0340B" w:rsidR="0079644B" w:rsidRDefault="008D0D1B" w:rsidP="001F4008">
      <w:pPr>
        <w:pStyle w:val="berschrift2"/>
      </w:pPr>
      <w:r>
        <w:t>1</w:t>
      </w:r>
      <w:r w:rsidR="0079644B">
        <w:t xml:space="preserve"> Aufgabenaufbau</w:t>
      </w:r>
    </w:p>
    <w:p w14:paraId="06E76F10" w14:textId="63C9AA01" w:rsidR="0079644B" w:rsidRPr="0079644B" w:rsidRDefault="001956C8" w:rsidP="0079644B">
      <w:pPr>
        <w:pStyle w:val="Textkrper"/>
      </w:pPr>
      <w:r>
        <w:t xml:space="preserve">Die Aufgabe </w:t>
      </w:r>
      <w:r w:rsidR="0079644B">
        <w:t xml:space="preserve">besteht aus </w:t>
      </w:r>
      <w:r>
        <w:t>zwei Teilen: Die 150 Sätze werden in zwei</w:t>
      </w:r>
      <w:r w:rsidR="0079644B">
        <w:t xml:space="preserve"> Tranchen</w:t>
      </w:r>
      <w:r>
        <w:t xml:space="preserve"> geteilt mit á 75 Sätze pro Tranche</w:t>
      </w:r>
      <w:r w:rsidR="0079644B">
        <w:t xml:space="preserve">. </w:t>
      </w:r>
      <w:r>
        <w:t xml:space="preserve">Tranche 1 ist eine sog. Kalibrierungstranche. Es wird nach dieser Anleitung annotiert. Wenn Fälle unklar sind und nicht eindeutig gelöst werden können, dann in der Spalte </w:t>
      </w:r>
      <w:r w:rsidRPr="001956C8">
        <w:rPr>
          <w:b/>
          <w:bCs/>
        </w:rPr>
        <w:t>unsicher</w:t>
      </w:r>
      <w:r>
        <w:t xml:space="preserve"> </w:t>
      </w:r>
      <w:r w:rsidR="0043333C">
        <w:t xml:space="preserve">zusätzlich </w:t>
      </w:r>
      <w:r>
        <w:t xml:space="preserve">ein </w:t>
      </w:r>
      <w:r w:rsidRPr="001956C8">
        <w:rPr>
          <w:b/>
          <w:bCs/>
        </w:rPr>
        <w:t>x</w:t>
      </w:r>
      <w:r>
        <w:t xml:space="preserve"> setzen und in der Spalte </w:t>
      </w:r>
      <w:proofErr w:type="spellStart"/>
      <w:r w:rsidRPr="001956C8">
        <w:rPr>
          <w:b/>
          <w:bCs/>
        </w:rPr>
        <w:t>kommentar</w:t>
      </w:r>
      <w:proofErr w:type="spellEnd"/>
      <w:r>
        <w:t xml:space="preserve"> kurz darlegen, was das Problem war. </w:t>
      </w:r>
      <w:r w:rsidRPr="001956C8">
        <w:rPr>
          <w:u w:val="single"/>
        </w:rPr>
        <w:t>Wichtig</w:t>
      </w:r>
      <w:r>
        <w:t xml:space="preserve">: Lieber eine Unsicherheit offen darlegen, anstatt eine </w:t>
      </w:r>
      <w:r w:rsidR="0043333C">
        <w:t xml:space="preserve">potenziell </w:t>
      </w:r>
      <w:r>
        <w:t xml:space="preserve">falsche Annahme </w:t>
      </w:r>
      <w:r w:rsidR="0043333C">
        <w:t>unsichtbar zu belassen</w:t>
      </w:r>
      <w:r>
        <w:t xml:space="preserve"> (vgl. </w:t>
      </w:r>
      <w:r w:rsidR="00BC01DD">
        <w:t>P1</w:t>
      </w:r>
      <w:r w:rsidR="003737F1">
        <w:t>4</w:t>
      </w:r>
      <w:r w:rsidR="00BC01DD">
        <w:t>)</w:t>
      </w:r>
      <w:r>
        <w:t xml:space="preserve">. </w:t>
      </w:r>
      <w:r w:rsidR="00E02093">
        <w:t xml:space="preserve">Nach Abgabe von Tranche 1 </w:t>
      </w:r>
      <w:r>
        <w:t>wird über die Unsicherheiten</w:t>
      </w:r>
      <w:r w:rsidR="00E03810">
        <w:t>,</w:t>
      </w:r>
      <w:r w:rsidR="00E02093">
        <w:t xml:space="preserve"> bei denen mind. 2 </w:t>
      </w:r>
      <w:r w:rsidR="00E03810">
        <w:t xml:space="preserve">Personen </w:t>
      </w:r>
      <w:r w:rsidR="00E02093">
        <w:t>aus der 3er-Gruppe</w:t>
      </w:r>
      <w:r>
        <w:t xml:space="preserve"> </w:t>
      </w:r>
      <w:r w:rsidR="00E02093">
        <w:t>ebenfalls unsicher waren</w:t>
      </w:r>
      <w:r w:rsidR="00E03810">
        <w:t>,</w:t>
      </w:r>
      <w:r w:rsidR="00E02093">
        <w:t xml:space="preserve"> </w:t>
      </w:r>
      <w:r>
        <w:t>gesprochen</w:t>
      </w:r>
      <w:r w:rsidR="00E03810">
        <w:t>.</w:t>
      </w:r>
      <w:r>
        <w:t xml:space="preserve"> </w:t>
      </w:r>
      <w:r w:rsidR="00E03810">
        <w:t>D</w:t>
      </w:r>
      <w:r>
        <w:t xml:space="preserve">iese Richtlinie </w:t>
      </w:r>
      <w:r w:rsidR="00E03810">
        <w:t xml:space="preserve">wird </w:t>
      </w:r>
      <w:r>
        <w:t>ggf.</w:t>
      </w:r>
      <w:r w:rsidR="00E03810">
        <w:t xml:space="preserve"> daraufhin</w:t>
      </w:r>
      <w:r>
        <w:t xml:space="preserve"> dahingehend aktualisiert. Mit dem neuen Wissen wird daraufhin Tranche 2 annotiert. Mit dem Rücklauf von Tranche 2 wird dann die Übereinstimmung gemessen.</w:t>
      </w:r>
    </w:p>
    <w:p w14:paraId="72B29D5A" w14:textId="77777777" w:rsidR="005C36DB" w:rsidRDefault="00000000">
      <w:pPr>
        <w:pStyle w:val="berschrift2"/>
      </w:pPr>
      <w:bookmarkStart w:id="5" w:name="_Toc236150380"/>
      <w:bookmarkStart w:id="6" w:name="grundsatz-blinde-annotation"/>
      <w:bookmarkEnd w:id="3"/>
      <w:r>
        <w:t>2 Grundsatz: blinde Annotation</w:t>
      </w:r>
      <w:bookmarkEnd w:id="5"/>
    </w:p>
    <w:p w14:paraId="494B81C7" w14:textId="162AB3A0" w:rsidR="005C36DB" w:rsidRDefault="00000000">
      <w:pPr>
        <w:pStyle w:val="FirstParagraph"/>
      </w:pPr>
      <w:r>
        <w:t xml:space="preserve">Die Tags werden </w:t>
      </w:r>
      <w:r>
        <w:rPr>
          <w:b/>
          <w:bCs/>
        </w:rPr>
        <w:t>ohne Vorbelegung</w:t>
      </w:r>
      <w:r>
        <w:t xml:space="preserve"> vergeben. Gearbeitet wird in einer persönlichen Excel-Mappe (</w:t>
      </w:r>
      <w:r>
        <w:rPr>
          <w:rStyle w:val="VerbatimChar"/>
        </w:rPr>
        <w:t>A4_pos_tranche1.xlsx</w:t>
      </w:r>
      <w:r>
        <w:t xml:space="preserve"> und entsprechend). Jede Zeile enthält ein Token</w:t>
      </w:r>
      <w:r w:rsidR="001956C8">
        <w:t xml:space="preserve"> (= Wort oder Satzzeichen)</w:t>
      </w:r>
      <w:r>
        <w:t xml:space="preserve">; die Spalte </w:t>
      </w:r>
      <w:r w:rsidRPr="001956C8">
        <w:rPr>
          <w:rStyle w:val="VerbatimChar"/>
          <w:b/>
          <w:bCs/>
        </w:rPr>
        <w:t>tag</w:t>
      </w:r>
      <w:r>
        <w:t xml:space="preserve"> ist leer und wird über ein Aufklappmenü gefüllt. Daneben stehen </w:t>
      </w:r>
      <w:r>
        <w:rPr>
          <w:rStyle w:val="VerbatimChar"/>
        </w:rPr>
        <w:t>unsicher</w:t>
      </w:r>
      <w:r>
        <w:t xml:space="preserve"> und </w:t>
      </w:r>
      <w:proofErr w:type="spellStart"/>
      <w:r w:rsidRPr="001956C8">
        <w:rPr>
          <w:rStyle w:val="VerbatimChar"/>
          <w:b/>
          <w:bCs/>
        </w:rPr>
        <w:t>kommentar</w:t>
      </w:r>
      <w:proofErr w:type="spellEnd"/>
      <w:r>
        <w:t xml:space="preserve"> zur Verfügung (P1</w:t>
      </w:r>
      <w:r w:rsidR="003737F1">
        <w:t>4</w:t>
      </w:r>
      <w:r>
        <w:t xml:space="preserve">). </w:t>
      </w:r>
    </w:p>
    <w:p w14:paraId="70BE8156" w14:textId="61F70805" w:rsidR="005C36DB" w:rsidRDefault="00000000" w:rsidP="000B4D20">
      <w:pPr>
        <w:pStyle w:val="Textkrper"/>
        <w:jc w:val="both"/>
      </w:pPr>
      <w:r>
        <w:t xml:space="preserve">Zur Orientierung führt jede Zeile den vollständigen Satz in </w:t>
      </w:r>
      <w:proofErr w:type="spellStart"/>
      <w:r w:rsidRPr="00AE064E">
        <w:rPr>
          <w:rStyle w:val="VerbatimChar"/>
          <w:b/>
          <w:bCs/>
        </w:rPr>
        <w:t>satz_text</w:t>
      </w:r>
      <w:proofErr w:type="spellEnd"/>
      <w:r>
        <w:t xml:space="preserve"> mit, jeweils in dessen erster Zeile</w:t>
      </w:r>
      <w:r w:rsidR="00AE064E">
        <w:t>. Da</w:t>
      </w:r>
      <w:r>
        <w:t xml:space="preserve"> für die Unterscheidung</w:t>
      </w:r>
      <w:r w:rsidR="000B4D20">
        <w:t xml:space="preserve"> </w:t>
      </w:r>
      <w:r>
        <w:t xml:space="preserve">zwischen </w:t>
      </w:r>
      <w:r w:rsidR="000B4D20">
        <w:t xml:space="preserve">den Tags </w:t>
      </w:r>
      <w:r>
        <w:rPr>
          <w:rStyle w:val="VerbatimChar"/>
        </w:rPr>
        <w:t>ADJA</w:t>
      </w:r>
      <w:r>
        <w:t xml:space="preserve"> und </w:t>
      </w:r>
      <w:r>
        <w:rPr>
          <w:rStyle w:val="VerbatimChar"/>
        </w:rPr>
        <w:t>ADJD</w:t>
      </w:r>
      <w:r>
        <w:t xml:space="preserve"> erkennbar sein</w:t>
      </w:r>
      <w:r w:rsidR="00AE064E">
        <w:t xml:space="preserve"> muss</w:t>
      </w:r>
      <w:r>
        <w:t>, ob ein Substantiv folgt.</w:t>
      </w:r>
    </w:p>
    <w:p w14:paraId="658446DC" w14:textId="77777777" w:rsidR="005C36DB" w:rsidRDefault="00000000">
      <w:pPr>
        <w:pStyle w:val="berschrift2"/>
      </w:pPr>
      <w:bookmarkStart w:id="7" w:name="_Toc236150381"/>
      <w:bookmarkStart w:id="8" w:name="tagset"/>
      <w:bookmarkEnd w:id="6"/>
      <w:r>
        <w:t xml:space="preserve">3 </w:t>
      </w:r>
      <w:proofErr w:type="spellStart"/>
      <w:r>
        <w:t>Tagset</w:t>
      </w:r>
      <w:bookmarkEnd w:id="7"/>
      <w:proofErr w:type="spellEnd"/>
    </w:p>
    <w:p w14:paraId="1E9F539F" w14:textId="77777777" w:rsidR="005C36DB" w:rsidRDefault="00000000">
      <w:pPr>
        <w:pStyle w:val="berschrift3"/>
      </w:pPr>
      <w:bookmarkStart w:id="9" w:name="projektfestlegung"/>
      <w:r>
        <w:t>Projektfestlegung</w:t>
      </w:r>
    </w:p>
    <w:p w14:paraId="6157AB3D" w14:textId="5CC9F20E" w:rsidR="005C36DB" w:rsidRDefault="00000000">
      <w:pPr>
        <w:pStyle w:val="FirstParagraph"/>
      </w:pPr>
      <w:r>
        <w:t>Annotiert wird nach dem</w:t>
      </w:r>
      <w:r w:rsidR="001C2AD2">
        <w:t xml:space="preserve"> anfängerfreundlichen</w:t>
      </w:r>
      <w:r>
        <w:t xml:space="preserve"> </w:t>
      </w:r>
      <w:proofErr w:type="spellStart"/>
      <w:r>
        <w:t>Tagset</w:t>
      </w:r>
      <w:proofErr w:type="spellEnd"/>
      <w:r>
        <w:t xml:space="preserve"> </w:t>
      </w:r>
      <w:r w:rsidR="001C2AD2" w:rsidRPr="00EF0191">
        <w:rPr>
          <w:b/>
          <w:bCs/>
        </w:rPr>
        <w:t>UPOS</w:t>
      </w:r>
      <w:r w:rsidR="001C2AD2" w:rsidRPr="00EF0191">
        <w:t xml:space="preserve"> (</w:t>
      </w:r>
      <w:r w:rsidR="001C2AD2">
        <w:t>Universal-POS)</w:t>
      </w:r>
      <w:r>
        <w:t xml:space="preserve">. Es besteht </w:t>
      </w:r>
      <w:r w:rsidR="001C2AD2">
        <w:t>ursprünglich aus</w:t>
      </w:r>
      <w:r>
        <w:t xml:space="preserve"> </w:t>
      </w:r>
      <w:r w:rsidR="001C2AD2">
        <w:t>17</w:t>
      </w:r>
      <w:r>
        <w:t xml:space="preserve"> </w:t>
      </w:r>
      <w:r w:rsidR="00EF0191">
        <w:t>einfachen</w:t>
      </w:r>
      <w:r>
        <w:t xml:space="preserve"> Kategorien, wobei die Wortart Adjektiv in </w:t>
      </w:r>
      <w:r>
        <w:rPr>
          <w:rStyle w:val="VerbatimChar"/>
        </w:rPr>
        <w:t>ADJA</w:t>
      </w:r>
      <w:r>
        <w:t xml:space="preserve"> und </w:t>
      </w:r>
      <w:r>
        <w:rPr>
          <w:rStyle w:val="VerbatimChar"/>
        </w:rPr>
        <w:t>ADJD</w:t>
      </w:r>
      <w:r>
        <w:t xml:space="preserve"> aufgeteilt </w:t>
      </w:r>
      <w:r w:rsidR="001C2AD2">
        <w:t xml:space="preserve">und erweitert </w:t>
      </w:r>
      <w:r>
        <w:t xml:space="preserve">wird. Daraus ergeben sich </w:t>
      </w:r>
      <w:r w:rsidR="001C2AD2">
        <w:t>18</w:t>
      </w:r>
      <w:r>
        <w:t xml:space="preserve"> </w:t>
      </w:r>
      <w:r w:rsidR="00EF0191">
        <w:t>Worttyp-</w:t>
      </w:r>
      <w:r>
        <w:t>Tags.</w:t>
      </w:r>
    </w:p>
    <w:p w14:paraId="69BB7573" w14:textId="77777777" w:rsidR="000C4605" w:rsidRDefault="000C4605" w:rsidP="000C4605">
      <w:pPr>
        <w:pStyle w:val="Textkrper"/>
      </w:pPr>
    </w:p>
    <w:p w14:paraId="054CE4A2" w14:textId="77777777" w:rsidR="009345E1" w:rsidRPr="000C4605" w:rsidRDefault="009345E1" w:rsidP="000C4605">
      <w:pPr>
        <w:pStyle w:val="Textkrper"/>
      </w:pPr>
    </w:p>
    <w:p w14:paraId="750552AE" w14:textId="13ADFADE" w:rsidR="005C36DB" w:rsidRDefault="00EF0191">
      <w:pPr>
        <w:pStyle w:val="berschrift3"/>
      </w:pPr>
      <w:bookmarkStart w:id="10" w:name="übersicht"/>
      <w:bookmarkEnd w:id="9"/>
      <w:proofErr w:type="gramStart"/>
      <w:r>
        <w:lastRenderedPageBreak/>
        <w:t>UPOS Übersicht</w:t>
      </w:r>
      <w:proofErr w:type="gramEnd"/>
    </w:p>
    <w:tbl>
      <w:tblPr>
        <w:tblStyle w:val="EinfacheTabelle1"/>
        <w:tblW w:w="0" w:type="auto"/>
        <w:tblLook w:val="04A0" w:firstRow="1" w:lastRow="0" w:firstColumn="1" w:lastColumn="0" w:noHBand="0" w:noVBand="1"/>
      </w:tblPr>
      <w:tblGrid>
        <w:gridCol w:w="937"/>
        <w:gridCol w:w="3536"/>
        <w:gridCol w:w="3064"/>
        <w:gridCol w:w="1859"/>
      </w:tblGrid>
      <w:tr w:rsidR="00135CCE" w:rsidRPr="00135CCE" w14:paraId="61FDBDCF" w14:textId="77777777" w:rsidTr="00D60F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BFBFBF" w:themeFill="background1" w:themeFillShade="BF"/>
            <w:hideMark/>
          </w:tcPr>
          <w:p w14:paraId="1B7D9BD1" w14:textId="77777777" w:rsidR="00135CCE" w:rsidRPr="009E5843" w:rsidRDefault="00135CCE" w:rsidP="00135CCE">
            <w:pPr>
              <w:jc w:val="center"/>
              <w:rPr>
                <w:rFonts w:ascii="Times New Roman" w:eastAsia="Times New Roman" w:hAnsi="Times New Roman" w:cs="Times New Roman"/>
                <w:sz w:val="28"/>
                <w:szCs w:val="28"/>
                <w:lang w:eastAsia="de-DE"/>
              </w:rPr>
            </w:pPr>
            <w:r w:rsidRPr="009E5843">
              <w:rPr>
                <w:rFonts w:ascii="Times New Roman" w:eastAsia="Times New Roman" w:hAnsi="Times New Roman" w:cs="Times New Roman"/>
                <w:sz w:val="28"/>
                <w:szCs w:val="28"/>
                <w:lang w:eastAsia="de-DE"/>
              </w:rPr>
              <w:t>Tag</w:t>
            </w:r>
          </w:p>
        </w:tc>
        <w:tc>
          <w:tcPr>
            <w:tcW w:w="0" w:type="auto"/>
            <w:shd w:val="clear" w:color="auto" w:fill="BFBFBF" w:themeFill="background1" w:themeFillShade="BF"/>
            <w:hideMark/>
          </w:tcPr>
          <w:p w14:paraId="3CCF6C61" w14:textId="77777777" w:rsidR="00135CCE" w:rsidRPr="009E5843" w:rsidRDefault="00135CCE" w:rsidP="00135CC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de-DE"/>
              </w:rPr>
            </w:pPr>
            <w:r w:rsidRPr="009E5843">
              <w:rPr>
                <w:rFonts w:ascii="Times New Roman" w:eastAsia="Times New Roman" w:hAnsi="Times New Roman" w:cs="Times New Roman"/>
                <w:sz w:val="28"/>
                <w:szCs w:val="28"/>
                <w:lang w:eastAsia="de-DE"/>
              </w:rPr>
              <w:t>Bedeutung</w:t>
            </w:r>
          </w:p>
        </w:tc>
        <w:tc>
          <w:tcPr>
            <w:tcW w:w="3064" w:type="dxa"/>
            <w:shd w:val="clear" w:color="auto" w:fill="BFBFBF" w:themeFill="background1" w:themeFillShade="BF"/>
            <w:hideMark/>
          </w:tcPr>
          <w:p w14:paraId="7C7D9BB4" w14:textId="77777777" w:rsidR="00135CCE" w:rsidRPr="009E5843" w:rsidRDefault="00135CCE" w:rsidP="00135CC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de-DE"/>
              </w:rPr>
            </w:pPr>
            <w:r w:rsidRPr="009E5843">
              <w:rPr>
                <w:rFonts w:ascii="Times New Roman" w:eastAsia="Times New Roman" w:hAnsi="Times New Roman" w:cs="Times New Roman"/>
                <w:sz w:val="28"/>
                <w:szCs w:val="28"/>
                <w:lang w:eastAsia="de-DE"/>
              </w:rPr>
              <w:t>Beispiel</w:t>
            </w:r>
          </w:p>
        </w:tc>
        <w:tc>
          <w:tcPr>
            <w:tcW w:w="1859" w:type="dxa"/>
            <w:shd w:val="clear" w:color="auto" w:fill="BFBFBF" w:themeFill="background1" w:themeFillShade="BF"/>
            <w:hideMark/>
          </w:tcPr>
          <w:p w14:paraId="79CB39C1" w14:textId="77777777" w:rsidR="00135CCE" w:rsidRPr="009E5843" w:rsidRDefault="00135CCE" w:rsidP="00135CC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de-DE"/>
              </w:rPr>
            </w:pPr>
            <w:r w:rsidRPr="009E5843">
              <w:rPr>
                <w:rFonts w:ascii="Times New Roman" w:eastAsia="Times New Roman" w:hAnsi="Times New Roman" w:cs="Times New Roman"/>
                <w:sz w:val="28"/>
                <w:szCs w:val="28"/>
                <w:lang w:eastAsia="de-DE"/>
              </w:rPr>
              <w:t>Regeln</w:t>
            </w:r>
          </w:p>
        </w:tc>
      </w:tr>
      <w:tr w:rsidR="00135CCE" w:rsidRPr="00135CCE" w14:paraId="1F465D21" w14:textId="77777777" w:rsidTr="00D60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67A82E" w14:textId="77777777" w:rsidR="00135CCE" w:rsidRPr="009E5843" w:rsidRDefault="00135CCE" w:rsidP="00135CCE">
            <w:pPr>
              <w:rPr>
                <w:rFonts w:ascii="Times New Roman" w:eastAsia="Times New Roman" w:hAnsi="Times New Roman" w:cs="Times New Roman"/>
                <w:lang w:eastAsia="de-DE"/>
              </w:rPr>
            </w:pPr>
            <w:r w:rsidRPr="009E5843">
              <w:rPr>
                <w:rFonts w:ascii="Courier New" w:eastAsia="Times New Roman" w:hAnsi="Courier New" w:cs="Courier New"/>
                <w:lang w:eastAsia="de-DE"/>
              </w:rPr>
              <w:t>ADJA</w:t>
            </w:r>
          </w:p>
        </w:tc>
        <w:tc>
          <w:tcPr>
            <w:tcW w:w="0" w:type="auto"/>
            <w:hideMark/>
          </w:tcPr>
          <w:p w14:paraId="49ABE1D3" w14:textId="321E2925" w:rsidR="00135CCE" w:rsidRPr="009E5843" w:rsidRDefault="00135CCE" w:rsidP="00135C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de-DE"/>
              </w:rPr>
            </w:pPr>
            <w:r w:rsidRPr="009E5843">
              <w:t>attributives Adjektiv</w:t>
            </w:r>
          </w:p>
        </w:tc>
        <w:tc>
          <w:tcPr>
            <w:tcW w:w="3064" w:type="dxa"/>
            <w:hideMark/>
          </w:tcPr>
          <w:p w14:paraId="620331D1" w14:textId="77777777" w:rsidR="00135CCE" w:rsidRPr="009E5843" w:rsidRDefault="00135CCE" w:rsidP="00135C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lang w:eastAsia="de-DE"/>
              </w:rPr>
              <w:t xml:space="preserve">das </w:t>
            </w:r>
            <w:r w:rsidRPr="009E5843">
              <w:rPr>
                <w:rFonts w:ascii="Times New Roman" w:eastAsia="Times New Roman" w:hAnsi="Times New Roman" w:cs="Times New Roman"/>
                <w:b/>
                <w:bCs/>
                <w:lang w:eastAsia="de-DE"/>
              </w:rPr>
              <w:t>große</w:t>
            </w:r>
            <w:r w:rsidRPr="009E5843">
              <w:rPr>
                <w:rFonts w:ascii="Times New Roman" w:eastAsia="Times New Roman" w:hAnsi="Times New Roman" w:cs="Times New Roman"/>
                <w:lang w:eastAsia="de-DE"/>
              </w:rPr>
              <w:t xml:space="preserve"> Haus</w:t>
            </w:r>
          </w:p>
        </w:tc>
        <w:tc>
          <w:tcPr>
            <w:tcW w:w="1859" w:type="dxa"/>
            <w:hideMark/>
          </w:tcPr>
          <w:p w14:paraId="2F9B1AC9" w14:textId="79F9183F" w:rsidR="00135CCE" w:rsidRPr="009E5843" w:rsidRDefault="00135CCE" w:rsidP="00135C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lang w:eastAsia="de-DE"/>
              </w:rPr>
              <w:t>P1, P4, P</w:t>
            </w:r>
            <w:r w:rsidR="0070287D">
              <w:rPr>
                <w:rFonts w:ascii="Times New Roman" w:eastAsia="Times New Roman" w:hAnsi="Times New Roman" w:cs="Times New Roman"/>
                <w:lang w:eastAsia="de-DE"/>
              </w:rPr>
              <w:t>9</w:t>
            </w:r>
          </w:p>
        </w:tc>
      </w:tr>
      <w:tr w:rsidR="00135CCE" w:rsidRPr="00135CCE" w14:paraId="43F9ACA6" w14:textId="77777777" w:rsidTr="00D60FA1">
        <w:tc>
          <w:tcPr>
            <w:cnfStyle w:val="001000000000" w:firstRow="0" w:lastRow="0" w:firstColumn="1" w:lastColumn="0" w:oddVBand="0" w:evenVBand="0" w:oddHBand="0" w:evenHBand="0" w:firstRowFirstColumn="0" w:firstRowLastColumn="0" w:lastRowFirstColumn="0" w:lastRowLastColumn="0"/>
            <w:tcW w:w="0" w:type="auto"/>
            <w:hideMark/>
          </w:tcPr>
          <w:p w14:paraId="696F738F" w14:textId="77777777" w:rsidR="00135CCE" w:rsidRPr="009E5843" w:rsidRDefault="00135CCE" w:rsidP="00135CCE">
            <w:pPr>
              <w:rPr>
                <w:rFonts w:ascii="Times New Roman" w:eastAsia="Times New Roman" w:hAnsi="Times New Roman" w:cs="Times New Roman"/>
                <w:lang w:eastAsia="de-DE"/>
              </w:rPr>
            </w:pPr>
            <w:r w:rsidRPr="009E5843">
              <w:rPr>
                <w:rFonts w:ascii="Courier New" w:eastAsia="Times New Roman" w:hAnsi="Courier New" w:cs="Courier New"/>
                <w:lang w:eastAsia="de-DE"/>
              </w:rPr>
              <w:t>ADJD</w:t>
            </w:r>
          </w:p>
        </w:tc>
        <w:tc>
          <w:tcPr>
            <w:tcW w:w="0" w:type="auto"/>
            <w:hideMark/>
          </w:tcPr>
          <w:p w14:paraId="73B1141B" w14:textId="58E483D1" w:rsidR="00135CCE" w:rsidRPr="009E5843" w:rsidRDefault="00135CCE" w:rsidP="00135C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de-DE"/>
              </w:rPr>
            </w:pPr>
            <w:r w:rsidRPr="009E5843">
              <w:t>prädikatives oder adverbiales Adjektiv</w:t>
            </w:r>
          </w:p>
        </w:tc>
        <w:tc>
          <w:tcPr>
            <w:tcW w:w="3064" w:type="dxa"/>
            <w:hideMark/>
          </w:tcPr>
          <w:p w14:paraId="6B5D43DF" w14:textId="77777777" w:rsidR="00135CCE" w:rsidRPr="009E5843" w:rsidRDefault="00135CCE" w:rsidP="00135C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lang w:eastAsia="de-DE"/>
              </w:rPr>
              <w:t xml:space="preserve">er ist </w:t>
            </w:r>
            <w:r w:rsidRPr="009E5843">
              <w:rPr>
                <w:rFonts w:ascii="Times New Roman" w:eastAsia="Times New Roman" w:hAnsi="Times New Roman" w:cs="Times New Roman"/>
                <w:b/>
                <w:bCs/>
                <w:lang w:eastAsia="de-DE"/>
              </w:rPr>
              <w:t>groß</w:t>
            </w:r>
            <w:r w:rsidRPr="009E5843">
              <w:rPr>
                <w:rFonts w:ascii="Times New Roman" w:eastAsia="Times New Roman" w:hAnsi="Times New Roman" w:cs="Times New Roman"/>
                <w:lang w:eastAsia="de-DE"/>
              </w:rPr>
              <w:t xml:space="preserve">, er läuft </w:t>
            </w:r>
            <w:r w:rsidRPr="009E5843">
              <w:rPr>
                <w:rFonts w:ascii="Times New Roman" w:eastAsia="Times New Roman" w:hAnsi="Times New Roman" w:cs="Times New Roman"/>
                <w:b/>
                <w:bCs/>
                <w:lang w:eastAsia="de-DE"/>
              </w:rPr>
              <w:t>schnell</w:t>
            </w:r>
          </w:p>
        </w:tc>
        <w:tc>
          <w:tcPr>
            <w:tcW w:w="1859" w:type="dxa"/>
            <w:hideMark/>
          </w:tcPr>
          <w:p w14:paraId="7401A9C9" w14:textId="5A7FC6B8" w:rsidR="00135CCE" w:rsidRPr="009E5843" w:rsidRDefault="00135CCE" w:rsidP="00135C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lang w:eastAsia="de-DE"/>
              </w:rPr>
              <w:t>P2, P6, P7, P</w:t>
            </w:r>
            <w:r w:rsidR="0070287D">
              <w:rPr>
                <w:rFonts w:ascii="Times New Roman" w:eastAsia="Times New Roman" w:hAnsi="Times New Roman" w:cs="Times New Roman"/>
                <w:lang w:eastAsia="de-DE"/>
              </w:rPr>
              <w:t>8</w:t>
            </w:r>
          </w:p>
        </w:tc>
      </w:tr>
      <w:tr w:rsidR="00135CCE" w:rsidRPr="00135CCE" w14:paraId="15615EE9" w14:textId="77777777" w:rsidTr="00D60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612668" w14:textId="77777777" w:rsidR="00135CCE" w:rsidRPr="009E5843" w:rsidRDefault="00135CCE" w:rsidP="00135CCE">
            <w:pPr>
              <w:rPr>
                <w:rFonts w:ascii="Times New Roman" w:eastAsia="Times New Roman" w:hAnsi="Times New Roman" w:cs="Times New Roman"/>
                <w:lang w:eastAsia="de-DE"/>
              </w:rPr>
            </w:pPr>
            <w:r w:rsidRPr="009E5843">
              <w:rPr>
                <w:rFonts w:ascii="Courier New" w:eastAsia="Times New Roman" w:hAnsi="Courier New" w:cs="Courier New"/>
                <w:lang w:eastAsia="de-DE"/>
              </w:rPr>
              <w:t>ADP</w:t>
            </w:r>
          </w:p>
        </w:tc>
        <w:tc>
          <w:tcPr>
            <w:tcW w:w="0" w:type="auto"/>
            <w:hideMark/>
          </w:tcPr>
          <w:p w14:paraId="160B5646" w14:textId="77777777" w:rsidR="00135CCE" w:rsidRPr="009E5843" w:rsidRDefault="00135CCE" w:rsidP="00135C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lang w:eastAsia="de-DE"/>
              </w:rPr>
              <w:t>Prä- und Postposition</w:t>
            </w:r>
          </w:p>
        </w:tc>
        <w:tc>
          <w:tcPr>
            <w:tcW w:w="3064" w:type="dxa"/>
            <w:hideMark/>
          </w:tcPr>
          <w:p w14:paraId="4BF983E3" w14:textId="77777777" w:rsidR="00135CCE" w:rsidRPr="009E5843" w:rsidRDefault="00135CCE" w:rsidP="00135C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b/>
                <w:bCs/>
                <w:lang w:eastAsia="de-DE"/>
              </w:rPr>
              <w:t>in</w:t>
            </w:r>
            <w:r w:rsidRPr="009E5843">
              <w:rPr>
                <w:rFonts w:ascii="Times New Roman" w:eastAsia="Times New Roman" w:hAnsi="Times New Roman" w:cs="Times New Roman"/>
                <w:lang w:eastAsia="de-DE"/>
              </w:rPr>
              <w:t xml:space="preserve"> dem Wald, </w:t>
            </w:r>
            <w:r w:rsidRPr="009E5843">
              <w:rPr>
                <w:rFonts w:ascii="Times New Roman" w:eastAsia="Times New Roman" w:hAnsi="Times New Roman" w:cs="Times New Roman"/>
                <w:b/>
                <w:bCs/>
                <w:lang w:eastAsia="de-DE"/>
              </w:rPr>
              <w:t>im</w:t>
            </w:r>
            <w:r w:rsidRPr="009E5843">
              <w:rPr>
                <w:rFonts w:ascii="Times New Roman" w:eastAsia="Times New Roman" w:hAnsi="Times New Roman" w:cs="Times New Roman"/>
                <w:lang w:eastAsia="de-DE"/>
              </w:rPr>
              <w:t xml:space="preserve"> Wald</w:t>
            </w:r>
          </w:p>
        </w:tc>
        <w:tc>
          <w:tcPr>
            <w:tcW w:w="1859" w:type="dxa"/>
            <w:hideMark/>
          </w:tcPr>
          <w:p w14:paraId="3E4567BE" w14:textId="5685FAA3" w:rsidR="00135CCE" w:rsidRPr="009E5843" w:rsidRDefault="00135CCE" w:rsidP="00135C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lang w:eastAsia="de-DE"/>
              </w:rPr>
              <w:t>P1</w:t>
            </w:r>
            <w:r w:rsidR="00282F66">
              <w:rPr>
                <w:rFonts w:ascii="Times New Roman" w:eastAsia="Times New Roman" w:hAnsi="Times New Roman" w:cs="Times New Roman"/>
                <w:lang w:eastAsia="de-DE"/>
              </w:rPr>
              <w:t>1</w:t>
            </w:r>
          </w:p>
        </w:tc>
      </w:tr>
      <w:tr w:rsidR="00135CCE" w:rsidRPr="00135CCE" w14:paraId="3322E113" w14:textId="77777777" w:rsidTr="00D60FA1">
        <w:tc>
          <w:tcPr>
            <w:cnfStyle w:val="001000000000" w:firstRow="0" w:lastRow="0" w:firstColumn="1" w:lastColumn="0" w:oddVBand="0" w:evenVBand="0" w:oddHBand="0" w:evenHBand="0" w:firstRowFirstColumn="0" w:firstRowLastColumn="0" w:lastRowFirstColumn="0" w:lastRowLastColumn="0"/>
            <w:tcW w:w="0" w:type="auto"/>
            <w:hideMark/>
          </w:tcPr>
          <w:p w14:paraId="5382C16C" w14:textId="77777777" w:rsidR="00135CCE" w:rsidRPr="009E5843" w:rsidRDefault="00135CCE" w:rsidP="00135CCE">
            <w:pPr>
              <w:rPr>
                <w:rFonts w:ascii="Times New Roman" w:eastAsia="Times New Roman" w:hAnsi="Times New Roman" w:cs="Times New Roman"/>
                <w:lang w:eastAsia="de-DE"/>
              </w:rPr>
            </w:pPr>
            <w:r w:rsidRPr="009E5843">
              <w:rPr>
                <w:rFonts w:ascii="Courier New" w:eastAsia="Times New Roman" w:hAnsi="Courier New" w:cs="Courier New"/>
                <w:lang w:eastAsia="de-DE"/>
              </w:rPr>
              <w:t>ADV</w:t>
            </w:r>
          </w:p>
        </w:tc>
        <w:tc>
          <w:tcPr>
            <w:tcW w:w="0" w:type="auto"/>
            <w:hideMark/>
          </w:tcPr>
          <w:p w14:paraId="5A432F97" w14:textId="77777777" w:rsidR="00135CCE" w:rsidRPr="009E5843" w:rsidRDefault="00135CCE" w:rsidP="00135C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lang w:eastAsia="de-DE"/>
              </w:rPr>
              <w:t>Adverb</w:t>
            </w:r>
          </w:p>
        </w:tc>
        <w:tc>
          <w:tcPr>
            <w:tcW w:w="3064" w:type="dxa"/>
            <w:hideMark/>
          </w:tcPr>
          <w:p w14:paraId="5E858826" w14:textId="77777777" w:rsidR="00135CCE" w:rsidRPr="009E5843" w:rsidRDefault="00135CCE" w:rsidP="00135C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b/>
                <w:bCs/>
                <w:lang w:eastAsia="de-DE"/>
              </w:rPr>
              <w:t>sehr</w:t>
            </w:r>
            <w:r w:rsidRPr="009E5843">
              <w:rPr>
                <w:rFonts w:ascii="Times New Roman" w:eastAsia="Times New Roman" w:hAnsi="Times New Roman" w:cs="Times New Roman"/>
                <w:lang w:eastAsia="de-DE"/>
              </w:rPr>
              <w:t xml:space="preserve">, </w:t>
            </w:r>
            <w:r w:rsidRPr="009E5843">
              <w:rPr>
                <w:rFonts w:ascii="Times New Roman" w:eastAsia="Times New Roman" w:hAnsi="Times New Roman" w:cs="Times New Roman"/>
                <w:b/>
                <w:bCs/>
                <w:lang w:eastAsia="de-DE"/>
              </w:rPr>
              <w:t>oft</w:t>
            </w:r>
            <w:r w:rsidRPr="009E5843">
              <w:rPr>
                <w:rFonts w:ascii="Times New Roman" w:eastAsia="Times New Roman" w:hAnsi="Times New Roman" w:cs="Times New Roman"/>
                <w:lang w:eastAsia="de-DE"/>
              </w:rPr>
              <w:t xml:space="preserve">, </w:t>
            </w:r>
            <w:r w:rsidRPr="009E5843">
              <w:rPr>
                <w:rFonts w:ascii="Times New Roman" w:eastAsia="Times New Roman" w:hAnsi="Times New Roman" w:cs="Times New Roman"/>
                <w:b/>
                <w:bCs/>
                <w:lang w:eastAsia="de-DE"/>
              </w:rPr>
              <w:t>hier</w:t>
            </w:r>
          </w:p>
        </w:tc>
        <w:tc>
          <w:tcPr>
            <w:tcW w:w="1859" w:type="dxa"/>
            <w:hideMark/>
          </w:tcPr>
          <w:p w14:paraId="43C500E8" w14:textId="621D1AC5" w:rsidR="00135CCE" w:rsidRPr="009E5843" w:rsidRDefault="00135CCE" w:rsidP="00135C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lang w:eastAsia="de-DE"/>
              </w:rPr>
              <w:t>P</w:t>
            </w:r>
            <w:r w:rsidR="00282F66">
              <w:rPr>
                <w:rFonts w:ascii="Times New Roman" w:eastAsia="Times New Roman" w:hAnsi="Times New Roman" w:cs="Times New Roman"/>
                <w:lang w:eastAsia="de-DE"/>
              </w:rPr>
              <w:t>8</w:t>
            </w:r>
          </w:p>
        </w:tc>
      </w:tr>
      <w:tr w:rsidR="00135CCE" w:rsidRPr="00135CCE" w14:paraId="52DF9F39" w14:textId="77777777" w:rsidTr="00D60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159DC" w14:textId="77777777" w:rsidR="00135CCE" w:rsidRPr="009E5843" w:rsidRDefault="00135CCE" w:rsidP="00135CCE">
            <w:pPr>
              <w:rPr>
                <w:rFonts w:ascii="Times New Roman" w:eastAsia="Times New Roman" w:hAnsi="Times New Roman" w:cs="Times New Roman"/>
                <w:lang w:eastAsia="de-DE"/>
              </w:rPr>
            </w:pPr>
            <w:r w:rsidRPr="009E5843">
              <w:rPr>
                <w:rFonts w:ascii="Courier New" w:eastAsia="Times New Roman" w:hAnsi="Courier New" w:cs="Courier New"/>
                <w:lang w:eastAsia="de-DE"/>
              </w:rPr>
              <w:t>AUX</w:t>
            </w:r>
          </w:p>
        </w:tc>
        <w:tc>
          <w:tcPr>
            <w:tcW w:w="0" w:type="auto"/>
            <w:hideMark/>
          </w:tcPr>
          <w:p w14:paraId="06814376" w14:textId="77777777" w:rsidR="00135CCE" w:rsidRPr="009E5843" w:rsidRDefault="00135CCE" w:rsidP="00135C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lang w:eastAsia="de-DE"/>
              </w:rPr>
              <w:t>Hilfs- und Modalverb</w:t>
            </w:r>
          </w:p>
        </w:tc>
        <w:tc>
          <w:tcPr>
            <w:tcW w:w="3064" w:type="dxa"/>
            <w:hideMark/>
          </w:tcPr>
          <w:p w14:paraId="2805C6FB" w14:textId="77777777" w:rsidR="00135CCE" w:rsidRPr="009E5843" w:rsidRDefault="00135CCE" w:rsidP="00135C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lang w:eastAsia="de-DE"/>
              </w:rPr>
              <w:t xml:space="preserve">er </w:t>
            </w:r>
            <w:r w:rsidRPr="009E5843">
              <w:rPr>
                <w:rFonts w:ascii="Times New Roman" w:eastAsia="Times New Roman" w:hAnsi="Times New Roman" w:cs="Times New Roman"/>
                <w:b/>
                <w:bCs/>
                <w:lang w:eastAsia="de-DE"/>
              </w:rPr>
              <w:t>hat</w:t>
            </w:r>
            <w:r w:rsidRPr="009E5843">
              <w:rPr>
                <w:rFonts w:ascii="Times New Roman" w:eastAsia="Times New Roman" w:hAnsi="Times New Roman" w:cs="Times New Roman"/>
                <w:lang w:eastAsia="de-DE"/>
              </w:rPr>
              <w:t xml:space="preserve"> gesungen, er </w:t>
            </w:r>
            <w:r w:rsidRPr="009E5843">
              <w:rPr>
                <w:rFonts w:ascii="Times New Roman" w:eastAsia="Times New Roman" w:hAnsi="Times New Roman" w:cs="Times New Roman"/>
                <w:b/>
                <w:bCs/>
                <w:lang w:eastAsia="de-DE"/>
              </w:rPr>
              <w:t>will</w:t>
            </w:r>
          </w:p>
        </w:tc>
        <w:tc>
          <w:tcPr>
            <w:tcW w:w="1859" w:type="dxa"/>
            <w:hideMark/>
          </w:tcPr>
          <w:p w14:paraId="00AF5F1C" w14:textId="77777777" w:rsidR="00135CCE" w:rsidRPr="009E5843" w:rsidRDefault="00135CCE" w:rsidP="00135C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lang w:eastAsia="de-DE"/>
              </w:rPr>
              <w:t>P5</w:t>
            </w:r>
          </w:p>
        </w:tc>
      </w:tr>
      <w:tr w:rsidR="00135CCE" w:rsidRPr="00135CCE" w14:paraId="731F6FDA" w14:textId="77777777" w:rsidTr="00D60FA1">
        <w:tc>
          <w:tcPr>
            <w:cnfStyle w:val="001000000000" w:firstRow="0" w:lastRow="0" w:firstColumn="1" w:lastColumn="0" w:oddVBand="0" w:evenVBand="0" w:oddHBand="0" w:evenHBand="0" w:firstRowFirstColumn="0" w:firstRowLastColumn="0" w:lastRowFirstColumn="0" w:lastRowLastColumn="0"/>
            <w:tcW w:w="0" w:type="auto"/>
            <w:hideMark/>
          </w:tcPr>
          <w:p w14:paraId="67EC3029" w14:textId="77777777" w:rsidR="00135CCE" w:rsidRPr="009E5843" w:rsidRDefault="00135CCE" w:rsidP="00135CCE">
            <w:pPr>
              <w:rPr>
                <w:rFonts w:ascii="Times New Roman" w:eastAsia="Times New Roman" w:hAnsi="Times New Roman" w:cs="Times New Roman"/>
                <w:lang w:eastAsia="de-DE"/>
              </w:rPr>
            </w:pPr>
            <w:r w:rsidRPr="009E5843">
              <w:rPr>
                <w:rFonts w:ascii="Courier New" w:eastAsia="Times New Roman" w:hAnsi="Courier New" w:cs="Courier New"/>
                <w:lang w:eastAsia="de-DE"/>
              </w:rPr>
              <w:t>CCONJ</w:t>
            </w:r>
          </w:p>
        </w:tc>
        <w:tc>
          <w:tcPr>
            <w:tcW w:w="0" w:type="auto"/>
            <w:hideMark/>
          </w:tcPr>
          <w:p w14:paraId="6B0088A8" w14:textId="77777777" w:rsidR="00135CCE" w:rsidRPr="009E5843" w:rsidRDefault="00135CCE" w:rsidP="00135C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lang w:eastAsia="de-DE"/>
              </w:rPr>
              <w:t>nebenordnende Konjunktion</w:t>
            </w:r>
          </w:p>
        </w:tc>
        <w:tc>
          <w:tcPr>
            <w:tcW w:w="3064" w:type="dxa"/>
            <w:hideMark/>
          </w:tcPr>
          <w:p w14:paraId="0E87873A" w14:textId="77777777" w:rsidR="00135CCE" w:rsidRPr="009E5843" w:rsidRDefault="00135CCE" w:rsidP="00135C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b/>
                <w:bCs/>
                <w:lang w:eastAsia="de-DE"/>
              </w:rPr>
              <w:t>und</w:t>
            </w:r>
            <w:r w:rsidRPr="009E5843">
              <w:rPr>
                <w:rFonts w:ascii="Times New Roman" w:eastAsia="Times New Roman" w:hAnsi="Times New Roman" w:cs="Times New Roman"/>
                <w:lang w:eastAsia="de-DE"/>
              </w:rPr>
              <w:t xml:space="preserve">, </w:t>
            </w:r>
            <w:r w:rsidRPr="009E5843">
              <w:rPr>
                <w:rFonts w:ascii="Times New Roman" w:eastAsia="Times New Roman" w:hAnsi="Times New Roman" w:cs="Times New Roman"/>
                <w:b/>
                <w:bCs/>
                <w:lang w:eastAsia="de-DE"/>
              </w:rPr>
              <w:t>aber</w:t>
            </w:r>
          </w:p>
        </w:tc>
        <w:tc>
          <w:tcPr>
            <w:tcW w:w="1859" w:type="dxa"/>
            <w:hideMark/>
          </w:tcPr>
          <w:p w14:paraId="005B68A8" w14:textId="77777777" w:rsidR="00135CCE" w:rsidRPr="009E5843" w:rsidRDefault="00135CCE" w:rsidP="00135C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de-DE"/>
              </w:rPr>
            </w:pPr>
          </w:p>
        </w:tc>
      </w:tr>
      <w:tr w:rsidR="00135CCE" w:rsidRPr="00135CCE" w14:paraId="14A5A41C" w14:textId="77777777" w:rsidTr="00D60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30512" w14:textId="77777777" w:rsidR="00135CCE" w:rsidRPr="009E5843" w:rsidRDefault="00135CCE" w:rsidP="00135CCE">
            <w:pPr>
              <w:rPr>
                <w:rFonts w:ascii="Times New Roman" w:eastAsia="Times New Roman" w:hAnsi="Times New Roman" w:cs="Times New Roman"/>
                <w:lang w:eastAsia="de-DE"/>
              </w:rPr>
            </w:pPr>
            <w:r w:rsidRPr="009E5843">
              <w:rPr>
                <w:rFonts w:ascii="Courier New" w:eastAsia="Times New Roman" w:hAnsi="Courier New" w:cs="Courier New"/>
                <w:lang w:eastAsia="de-DE"/>
              </w:rPr>
              <w:t>DET</w:t>
            </w:r>
          </w:p>
        </w:tc>
        <w:tc>
          <w:tcPr>
            <w:tcW w:w="0" w:type="auto"/>
            <w:hideMark/>
          </w:tcPr>
          <w:p w14:paraId="2CB63538" w14:textId="77777777" w:rsidR="00135CCE" w:rsidRPr="009E5843" w:rsidRDefault="00135CCE" w:rsidP="00135C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lang w:eastAsia="de-DE"/>
              </w:rPr>
              <w:t>Artikel und Pronomen vor einem Substantiv</w:t>
            </w:r>
          </w:p>
        </w:tc>
        <w:tc>
          <w:tcPr>
            <w:tcW w:w="3064" w:type="dxa"/>
            <w:hideMark/>
          </w:tcPr>
          <w:p w14:paraId="6524693A" w14:textId="77777777" w:rsidR="00135CCE" w:rsidRPr="009E5843" w:rsidRDefault="00135CCE" w:rsidP="00135C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b/>
                <w:bCs/>
                <w:lang w:eastAsia="de-DE"/>
              </w:rPr>
              <w:t>der</w:t>
            </w:r>
            <w:r w:rsidRPr="009E5843">
              <w:rPr>
                <w:rFonts w:ascii="Times New Roman" w:eastAsia="Times New Roman" w:hAnsi="Times New Roman" w:cs="Times New Roman"/>
                <w:lang w:eastAsia="de-DE"/>
              </w:rPr>
              <w:t xml:space="preserve"> Wald, </w:t>
            </w:r>
            <w:r w:rsidRPr="009E5843">
              <w:rPr>
                <w:rFonts w:ascii="Times New Roman" w:eastAsia="Times New Roman" w:hAnsi="Times New Roman" w:cs="Times New Roman"/>
                <w:b/>
                <w:bCs/>
                <w:lang w:eastAsia="de-DE"/>
              </w:rPr>
              <w:t>dieser</w:t>
            </w:r>
            <w:r w:rsidRPr="009E5843">
              <w:rPr>
                <w:rFonts w:ascii="Times New Roman" w:eastAsia="Times New Roman" w:hAnsi="Times New Roman" w:cs="Times New Roman"/>
                <w:lang w:eastAsia="de-DE"/>
              </w:rPr>
              <w:t xml:space="preserve"> Mann, </w:t>
            </w:r>
            <w:r w:rsidRPr="009E5843">
              <w:rPr>
                <w:rFonts w:ascii="Times New Roman" w:eastAsia="Times New Roman" w:hAnsi="Times New Roman" w:cs="Times New Roman"/>
                <w:b/>
                <w:bCs/>
                <w:lang w:eastAsia="de-DE"/>
              </w:rPr>
              <w:t>sein</w:t>
            </w:r>
            <w:r w:rsidRPr="009E5843">
              <w:rPr>
                <w:rFonts w:ascii="Times New Roman" w:eastAsia="Times New Roman" w:hAnsi="Times New Roman" w:cs="Times New Roman"/>
                <w:lang w:eastAsia="de-DE"/>
              </w:rPr>
              <w:t xml:space="preserve"> Haus</w:t>
            </w:r>
          </w:p>
        </w:tc>
        <w:tc>
          <w:tcPr>
            <w:tcW w:w="1859" w:type="dxa"/>
            <w:hideMark/>
          </w:tcPr>
          <w:p w14:paraId="40E5C5A4" w14:textId="302D42DE" w:rsidR="00135CCE" w:rsidRPr="009E5843" w:rsidRDefault="00135CCE" w:rsidP="00135C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lang w:eastAsia="de-DE"/>
              </w:rPr>
              <w:t>P1</w:t>
            </w:r>
            <w:r w:rsidR="00282F66">
              <w:rPr>
                <w:rFonts w:ascii="Times New Roman" w:eastAsia="Times New Roman" w:hAnsi="Times New Roman" w:cs="Times New Roman"/>
                <w:lang w:eastAsia="de-DE"/>
              </w:rPr>
              <w:t>2</w:t>
            </w:r>
          </w:p>
        </w:tc>
      </w:tr>
      <w:tr w:rsidR="00135CCE" w:rsidRPr="00135CCE" w14:paraId="03284F55" w14:textId="77777777" w:rsidTr="00D60FA1">
        <w:tc>
          <w:tcPr>
            <w:cnfStyle w:val="001000000000" w:firstRow="0" w:lastRow="0" w:firstColumn="1" w:lastColumn="0" w:oddVBand="0" w:evenVBand="0" w:oddHBand="0" w:evenHBand="0" w:firstRowFirstColumn="0" w:firstRowLastColumn="0" w:lastRowFirstColumn="0" w:lastRowLastColumn="0"/>
            <w:tcW w:w="0" w:type="auto"/>
            <w:hideMark/>
          </w:tcPr>
          <w:p w14:paraId="31958DF4" w14:textId="77777777" w:rsidR="00135CCE" w:rsidRPr="009E5843" w:rsidRDefault="00135CCE" w:rsidP="00135CCE">
            <w:pPr>
              <w:rPr>
                <w:rFonts w:ascii="Times New Roman" w:eastAsia="Times New Roman" w:hAnsi="Times New Roman" w:cs="Times New Roman"/>
                <w:lang w:eastAsia="de-DE"/>
              </w:rPr>
            </w:pPr>
            <w:r w:rsidRPr="009E5843">
              <w:rPr>
                <w:rFonts w:ascii="Courier New" w:eastAsia="Times New Roman" w:hAnsi="Courier New" w:cs="Courier New"/>
                <w:lang w:eastAsia="de-DE"/>
              </w:rPr>
              <w:t>INTJ</w:t>
            </w:r>
          </w:p>
        </w:tc>
        <w:tc>
          <w:tcPr>
            <w:tcW w:w="0" w:type="auto"/>
            <w:hideMark/>
          </w:tcPr>
          <w:p w14:paraId="5173A3EE" w14:textId="77777777" w:rsidR="00135CCE" w:rsidRPr="009E5843" w:rsidRDefault="00135CCE" w:rsidP="00135C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lang w:eastAsia="de-DE"/>
              </w:rPr>
              <w:t>Interjektion</w:t>
            </w:r>
          </w:p>
        </w:tc>
        <w:tc>
          <w:tcPr>
            <w:tcW w:w="3064" w:type="dxa"/>
            <w:hideMark/>
          </w:tcPr>
          <w:p w14:paraId="5C64B694" w14:textId="77777777" w:rsidR="00135CCE" w:rsidRPr="009E5843" w:rsidRDefault="00135CCE" w:rsidP="00135C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b/>
                <w:bCs/>
                <w:lang w:eastAsia="de-DE"/>
              </w:rPr>
              <w:t>ach</w:t>
            </w:r>
            <w:r w:rsidRPr="009E5843">
              <w:rPr>
                <w:rFonts w:ascii="Times New Roman" w:eastAsia="Times New Roman" w:hAnsi="Times New Roman" w:cs="Times New Roman"/>
                <w:lang w:eastAsia="de-DE"/>
              </w:rPr>
              <w:t xml:space="preserve">, </w:t>
            </w:r>
            <w:r w:rsidRPr="009E5843">
              <w:rPr>
                <w:rFonts w:ascii="Times New Roman" w:eastAsia="Times New Roman" w:hAnsi="Times New Roman" w:cs="Times New Roman"/>
                <w:b/>
                <w:bCs/>
                <w:lang w:eastAsia="de-DE"/>
              </w:rPr>
              <w:t>oh</w:t>
            </w:r>
          </w:p>
        </w:tc>
        <w:tc>
          <w:tcPr>
            <w:tcW w:w="1859" w:type="dxa"/>
            <w:hideMark/>
          </w:tcPr>
          <w:p w14:paraId="1EBD32CB" w14:textId="77777777" w:rsidR="00135CCE" w:rsidRPr="009E5843" w:rsidRDefault="00135CCE" w:rsidP="00135C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de-DE"/>
              </w:rPr>
            </w:pPr>
          </w:p>
        </w:tc>
      </w:tr>
      <w:tr w:rsidR="00135CCE" w:rsidRPr="00135CCE" w14:paraId="66FF5D92" w14:textId="77777777" w:rsidTr="00D60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783351" w14:textId="77777777" w:rsidR="00135CCE" w:rsidRPr="009E5843" w:rsidRDefault="00135CCE" w:rsidP="00135CCE">
            <w:pPr>
              <w:rPr>
                <w:rFonts w:ascii="Times New Roman" w:eastAsia="Times New Roman" w:hAnsi="Times New Roman" w:cs="Times New Roman"/>
                <w:lang w:eastAsia="de-DE"/>
              </w:rPr>
            </w:pPr>
            <w:r w:rsidRPr="009E5843">
              <w:rPr>
                <w:rFonts w:ascii="Courier New" w:eastAsia="Times New Roman" w:hAnsi="Courier New" w:cs="Courier New"/>
                <w:lang w:eastAsia="de-DE"/>
              </w:rPr>
              <w:t>NOUN</w:t>
            </w:r>
          </w:p>
        </w:tc>
        <w:tc>
          <w:tcPr>
            <w:tcW w:w="0" w:type="auto"/>
            <w:hideMark/>
          </w:tcPr>
          <w:p w14:paraId="6A55702F" w14:textId="77777777" w:rsidR="00135CCE" w:rsidRPr="009E5843" w:rsidRDefault="00135CCE" w:rsidP="00135C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lang w:eastAsia="de-DE"/>
              </w:rPr>
              <w:t>Substantiv, auch nominalisiert</w:t>
            </w:r>
          </w:p>
        </w:tc>
        <w:tc>
          <w:tcPr>
            <w:tcW w:w="3064" w:type="dxa"/>
            <w:hideMark/>
          </w:tcPr>
          <w:p w14:paraId="6ABDB009" w14:textId="77777777" w:rsidR="00135CCE" w:rsidRPr="009E5843" w:rsidRDefault="00135CCE" w:rsidP="00135C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b/>
                <w:bCs/>
                <w:lang w:eastAsia="de-DE"/>
              </w:rPr>
              <w:t>Königin</w:t>
            </w:r>
            <w:r w:rsidRPr="009E5843">
              <w:rPr>
                <w:rFonts w:ascii="Times New Roman" w:eastAsia="Times New Roman" w:hAnsi="Times New Roman" w:cs="Times New Roman"/>
                <w:lang w:eastAsia="de-DE"/>
              </w:rPr>
              <w:t xml:space="preserve">, die </w:t>
            </w:r>
            <w:r w:rsidRPr="009E5843">
              <w:rPr>
                <w:rFonts w:ascii="Times New Roman" w:eastAsia="Times New Roman" w:hAnsi="Times New Roman" w:cs="Times New Roman"/>
                <w:b/>
                <w:bCs/>
                <w:lang w:eastAsia="de-DE"/>
              </w:rPr>
              <w:t>Alte</w:t>
            </w:r>
          </w:p>
        </w:tc>
        <w:tc>
          <w:tcPr>
            <w:tcW w:w="1859" w:type="dxa"/>
            <w:hideMark/>
          </w:tcPr>
          <w:p w14:paraId="0A1737DE" w14:textId="77777777" w:rsidR="00135CCE" w:rsidRPr="009E5843" w:rsidRDefault="00135CCE" w:rsidP="00135C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lang w:eastAsia="de-DE"/>
              </w:rPr>
              <w:t>P3</w:t>
            </w:r>
          </w:p>
        </w:tc>
      </w:tr>
      <w:tr w:rsidR="00135CCE" w:rsidRPr="00135CCE" w14:paraId="41783609" w14:textId="77777777" w:rsidTr="00D60FA1">
        <w:tc>
          <w:tcPr>
            <w:cnfStyle w:val="001000000000" w:firstRow="0" w:lastRow="0" w:firstColumn="1" w:lastColumn="0" w:oddVBand="0" w:evenVBand="0" w:oddHBand="0" w:evenHBand="0" w:firstRowFirstColumn="0" w:firstRowLastColumn="0" w:lastRowFirstColumn="0" w:lastRowLastColumn="0"/>
            <w:tcW w:w="0" w:type="auto"/>
            <w:hideMark/>
          </w:tcPr>
          <w:p w14:paraId="6DB59350" w14:textId="77777777" w:rsidR="00135CCE" w:rsidRPr="009E5843" w:rsidRDefault="00135CCE" w:rsidP="00135CCE">
            <w:pPr>
              <w:rPr>
                <w:rFonts w:ascii="Times New Roman" w:eastAsia="Times New Roman" w:hAnsi="Times New Roman" w:cs="Times New Roman"/>
                <w:lang w:eastAsia="de-DE"/>
              </w:rPr>
            </w:pPr>
            <w:r w:rsidRPr="009E5843">
              <w:rPr>
                <w:rFonts w:ascii="Courier New" w:eastAsia="Times New Roman" w:hAnsi="Courier New" w:cs="Courier New"/>
                <w:lang w:eastAsia="de-DE"/>
              </w:rPr>
              <w:t>NUM</w:t>
            </w:r>
          </w:p>
        </w:tc>
        <w:tc>
          <w:tcPr>
            <w:tcW w:w="0" w:type="auto"/>
            <w:hideMark/>
          </w:tcPr>
          <w:p w14:paraId="69E145C4" w14:textId="77777777" w:rsidR="00135CCE" w:rsidRPr="009E5843" w:rsidRDefault="00135CCE" w:rsidP="00135C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lang w:eastAsia="de-DE"/>
              </w:rPr>
              <w:t>Kardinalzahl</w:t>
            </w:r>
          </w:p>
        </w:tc>
        <w:tc>
          <w:tcPr>
            <w:tcW w:w="3064" w:type="dxa"/>
            <w:hideMark/>
          </w:tcPr>
          <w:p w14:paraId="023E6B04" w14:textId="77777777" w:rsidR="00135CCE" w:rsidRPr="009E5843" w:rsidRDefault="00135CCE" w:rsidP="00135C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b/>
                <w:bCs/>
                <w:lang w:eastAsia="de-DE"/>
              </w:rPr>
              <w:t>drei</w:t>
            </w:r>
            <w:r w:rsidRPr="009E5843">
              <w:rPr>
                <w:rFonts w:ascii="Times New Roman" w:eastAsia="Times New Roman" w:hAnsi="Times New Roman" w:cs="Times New Roman"/>
                <w:lang w:eastAsia="de-DE"/>
              </w:rPr>
              <w:t xml:space="preserve"> Brüder</w:t>
            </w:r>
          </w:p>
        </w:tc>
        <w:tc>
          <w:tcPr>
            <w:tcW w:w="1859" w:type="dxa"/>
            <w:hideMark/>
          </w:tcPr>
          <w:p w14:paraId="2F9C20C4" w14:textId="4B052E35" w:rsidR="00135CCE" w:rsidRPr="009E5843" w:rsidRDefault="00135CCE" w:rsidP="00135C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lang w:eastAsia="de-DE"/>
              </w:rPr>
              <w:t>P1</w:t>
            </w:r>
            <w:r w:rsidR="00282F66">
              <w:rPr>
                <w:rFonts w:ascii="Times New Roman" w:eastAsia="Times New Roman" w:hAnsi="Times New Roman" w:cs="Times New Roman"/>
                <w:lang w:eastAsia="de-DE"/>
              </w:rPr>
              <w:t>0</w:t>
            </w:r>
          </w:p>
        </w:tc>
      </w:tr>
      <w:tr w:rsidR="00135CCE" w:rsidRPr="00135CCE" w14:paraId="27E1E4A6" w14:textId="77777777" w:rsidTr="00D60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BDD155" w14:textId="77777777" w:rsidR="00135CCE" w:rsidRPr="009E5843" w:rsidRDefault="00135CCE" w:rsidP="00135CCE">
            <w:pPr>
              <w:rPr>
                <w:rFonts w:ascii="Times New Roman" w:eastAsia="Times New Roman" w:hAnsi="Times New Roman" w:cs="Times New Roman"/>
                <w:lang w:eastAsia="de-DE"/>
              </w:rPr>
            </w:pPr>
            <w:r w:rsidRPr="009E5843">
              <w:rPr>
                <w:rFonts w:ascii="Courier New" w:eastAsia="Times New Roman" w:hAnsi="Courier New" w:cs="Courier New"/>
                <w:lang w:eastAsia="de-DE"/>
              </w:rPr>
              <w:t>PART</w:t>
            </w:r>
          </w:p>
        </w:tc>
        <w:tc>
          <w:tcPr>
            <w:tcW w:w="0" w:type="auto"/>
            <w:hideMark/>
          </w:tcPr>
          <w:p w14:paraId="7C149074" w14:textId="77777777" w:rsidR="00135CCE" w:rsidRPr="009E5843" w:rsidRDefault="00135CCE" w:rsidP="00135C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lang w:eastAsia="de-DE"/>
              </w:rPr>
              <w:t>Partikel</w:t>
            </w:r>
          </w:p>
        </w:tc>
        <w:tc>
          <w:tcPr>
            <w:tcW w:w="3064" w:type="dxa"/>
            <w:hideMark/>
          </w:tcPr>
          <w:p w14:paraId="3BF6A588" w14:textId="77777777" w:rsidR="00135CCE" w:rsidRPr="009E5843" w:rsidRDefault="00135CCE" w:rsidP="00135C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b/>
                <w:bCs/>
                <w:lang w:eastAsia="de-DE"/>
              </w:rPr>
              <w:t>nicht</w:t>
            </w:r>
            <w:r w:rsidRPr="009E5843">
              <w:rPr>
                <w:rFonts w:ascii="Times New Roman" w:eastAsia="Times New Roman" w:hAnsi="Times New Roman" w:cs="Times New Roman"/>
                <w:lang w:eastAsia="de-DE"/>
              </w:rPr>
              <w:t xml:space="preserve">, </w:t>
            </w:r>
            <w:r w:rsidRPr="009E5843">
              <w:rPr>
                <w:rFonts w:ascii="Times New Roman" w:eastAsia="Times New Roman" w:hAnsi="Times New Roman" w:cs="Times New Roman"/>
                <w:b/>
                <w:bCs/>
                <w:lang w:eastAsia="de-DE"/>
              </w:rPr>
              <w:t>zu</w:t>
            </w:r>
            <w:r w:rsidRPr="009E5843">
              <w:rPr>
                <w:rFonts w:ascii="Times New Roman" w:eastAsia="Times New Roman" w:hAnsi="Times New Roman" w:cs="Times New Roman"/>
                <w:lang w:eastAsia="de-DE"/>
              </w:rPr>
              <w:t xml:space="preserve"> gehen, er kam </w:t>
            </w:r>
            <w:r w:rsidRPr="009E5843">
              <w:rPr>
                <w:rFonts w:ascii="Times New Roman" w:eastAsia="Times New Roman" w:hAnsi="Times New Roman" w:cs="Times New Roman"/>
                <w:b/>
                <w:bCs/>
                <w:lang w:eastAsia="de-DE"/>
              </w:rPr>
              <w:t>an</w:t>
            </w:r>
          </w:p>
        </w:tc>
        <w:tc>
          <w:tcPr>
            <w:tcW w:w="1859" w:type="dxa"/>
            <w:hideMark/>
          </w:tcPr>
          <w:p w14:paraId="003921C2" w14:textId="14A1BD91" w:rsidR="00135CCE" w:rsidRPr="009E5843" w:rsidRDefault="00135CCE" w:rsidP="00135C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lang w:eastAsia="de-DE"/>
              </w:rPr>
              <w:t>P7, P1</w:t>
            </w:r>
            <w:r w:rsidR="00282F66">
              <w:rPr>
                <w:rFonts w:ascii="Times New Roman" w:eastAsia="Times New Roman" w:hAnsi="Times New Roman" w:cs="Times New Roman"/>
                <w:lang w:eastAsia="de-DE"/>
              </w:rPr>
              <w:t>1</w:t>
            </w:r>
          </w:p>
        </w:tc>
      </w:tr>
      <w:tr w:rsidR="00135CCE" w:rsidRPr="00135CCE" w14:paraId="4C204263" w14:textId="77777777" w:rsidTr="00D60FA1">
        <w:tc>
          <w:tcPr>
            <w:cnfStyle w:val="001000000000" w:firstRow="0" w:lastRow="0" w:firstColumn="1" w:lastColumn="0" w:oddVBand="0" w:evenVBand="0" w:oddHBand="0" w:evenHBand="0" w:firstRowFirstColumn="0" w:firstRowLastColumn="0" w:lastRowFirstColumn="0" w:lastRowLastColumn="0"/>
            <w:tcW w:w="0" w:type="auto"/>
            <w:hideMark/>
          </w:tcPr>
          <w:p w14:paraId="200D82D5" w14:textId="77777777" w:rsidR="00135CCE" w:rsidRPr="009E5843" w:rsidRDefault="00135CCE" w:rsidP="00135CCE">
            <w:pPr>
              <w:rPr>
                <w:rFonts w:ascii="Times New Roman" w:eastAsia="Times New Roman" w:hAnsi="Times New Roman" w:cs="Times New Roman"/>
                <w:lang w:eastAsia="de-DE"/>
              </w:rPr>
            </w:pPr>
            <w:r w:rsidRPr="009E5843">
              <w:rPr>
                <w:rFonts w:ascii="Courier New" w:eastAsia="Times New Roman" w:hAnsi="Courier New" w:cs="Courier New"/>
                <w:lang w:eastAsia="de-DE"/>
              </w:rPr>
              <w:t>PRON</w:t>
            </w:r>
          </w:p>
        </w:tc>
        <w:tc>
          <w:tcPr>
            <w:tcW w:w="0" w:type="auto"/>
            <w:hideMark/>
          </w:tcPr>
          <w:p w14:paraId="4160E6A4" w14:textId="77777777" w:rsidR="00135CCE" w:rsidRPr="009E5843" w:rsidRDefault="00135CCE" w:rsidP="00135C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lang w:eastAsia="de-DE"/>
              </w:rPr>
              <w:t>Pronomen ohne folgendes Substantiv</w:t>
            </w:r>
          </w:p>
        </w:tc>
        <w:tc>
          <w:tcPr>
            <w:tcW w:w="3064" w:type="dxa"/>
            <w:hideMark/>
          </w:tcPr>
          <w:p w14:paraId="3D7D036F" w14:textId="77777777" w:rsidR="00135CCE" w:rsidRPr="009E5843" w:rsidRDefault="00135CCE" w:rsidP="00135C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b/>
                <w:bCs/>
                <w:lang w:eastAsia="de-DE"/>
              </w:rPr>
              <w:t>er</w:t>
            </w:r>
            <w:r w:rsidRPr="009E5843">
              <w:rPr>
                <w:rFonts w:ascii="Times New Roman" w:eastAsia="Times New Roman" w:hAnsi="Times New Roman" w:cs="Times New Roman"/>
                <w:lang w:eastAsia="de-DE"/>
              </w:rPr>
              <w:t xml:space="preserve">, </w:t>
            </w:r>
            <w:r w:rsidRPr="009E5843">
              <w:rPr>
                <w:rFonts w:ascii="Times New Roman" w:eastAsia="Times New Roman" w:hAnsi="Times New Roman" w:cs="Times New Roman"/>
                <w:b/>
                <w:bCs/>
                <w:lang w:eastAsia="de-DE"/>
              </w:rPr>
              <w:t>sich</w:t>
            </w:r>
            <w:r w:rsidRPr="009E5843">
              <w:rPr>
                <w:rFonts w:ascii="Times New Roman" w:eastAsia="Times New Roman" w:hAnsi="Times New Roman" w:cs="Times New Roman"/>
                <w:lang w:eastAsia="de-DE"/>
              </w:rPr>
              <w:t xml:space="preserve">, </w:t>
            </w:r>
            <w:r w:rsidRPr="009E5843">
              <w:rPr>
                <w:rFonts w:ascii="Times New Roman" w:eastAsia="Times New Roman" w:hAnsi="Times New Roman" w:cs="Times New Roman"/>
                <w:b/>
                <w:bCs/>
                <w:lang w:eastAsia="de-DE"/>
              </w:rPr>
              <w:t>dieser</w:t>
            </w:r>
            <w:r w:rsidRPr="009E5843">
              <w:rPr>
                <w:rFonts w:ascii="Times New Roman" w:eastAsia="Times New Roman" w:hAnsi="Times New Roman" w:cs="Times New Roman"/>
                <w:lang w:eastAsia="de-DE"/>
              </w:rPr>
              <w:t xml:space="preserve"> kam</w:t>
            </w:r>
          </w:p>
        </w:tc>
        <w:tc>
          <w:tcPr>
            <w:tcW w:w="1859" w:type="dxa"/>
            <w:hideMark/>
          </w:tcPr>
          <w:p w14:paraId="7FF99BB4" w14:textId="306C507B" w:rsidR="00135CCE" w:rsidRPr="009E5843" w:rsidRDefault="00135CCE" w:rsidP="00135C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lang w:eastAsia="de-DE"/>
              </w:rPr>
              <w:t>P1</w:t>
            </w:r>
            <w:r w:rsidR="00282F66">
              <w:rPr>
                <w:rFonts w:ascii="Times New Roman" w:eastAsia="Times New Roman" w:hAnsi="Times New Roman" w:cs="Times New Roman"/>
                <w:lang w:eastAsia="de-DE"/>
              </w:rPr>
              <w:t>2</w:t>
            </w:r>
          </w:p>
        </w:tc>
      </w:tr>
      <w:tr w:rsidR="00135CCE" w:rsidRPr="00135CCE" w14:paraId="172416CB" w14:textId="77777777" w:rsidTr="00D60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FA28A" w14:textId="77777777" w:rsidR="00135CCE" w:rsidRPr="009E5843" w:rsidRDefault="00135CCE" w:rsidP="00135CCE">
            <w:pPr>
              <w:rPr>
                <w:rFonts w:ascii="Times New Roman" w:eastAsia="Times New Roman" w:hAnsi="Times New Roman" w:cs="Times New Roman"/>
                <w:lang w:eastAsia="de-DE"/>
              </w:rPr>
            </w:pPr>
            <w:r w:rsidRPr="009E5843">
              <w:rPr>
                <w:rFonts w:ascii="Courier New" w:eastAsia="Times New Roman" w:hAnsi="Courier New" w:cs="Courier New"/>
                <w:lang w:eastAsia="de-DE"/>
              </w:rPr>
              <w:t>PROPN</w:t>
            </w:r>
          </w:p>
        </w:tc>
        <w:tc>
          <w:tcPr>
            <w:tcW w:w="0" w:type="auto"/>
            <w:hideMark/>
          </w:tcPr>
          <w:p w14:paraId="632B420D" w14:textId="77777777" w:rsidR="00135CCE" w:rsidRPr="009E5843" w:rsidRDefault="00135CCE" w:rsidP="00135C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lang w:eastAsia="de-DE"/>
              </w:rPr>
              <w:t>Eigenname</w:t>
            </w:r>
          </w:p>
        </w:tc>
        <w:tc>
          <w:tcPr>
            <w:tcW w:w="3064" w:type="dxa"/>
            <w:hideMark/>
          </w:tcPr>
          <w:p w14:paraId="0D91D63A" w14:textId="77777777" w:rsidR="00135CCE" w:rsidRPr="009E5843" w:rsidRDefault="00135CCE" w:rsidP="00135C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b/>
                <w:bCs/>
                <w:lang w:eastAsia="de-DE"/>
              </w:rPr>
              <w:t>Aschenputtel</w:t>
            </w:r>
          </w:p>
        </w:tc>
        <w:tc>
          <w:tcPr>
            <w:tcW w:w="1859" w:type="dxa"/>
            <w:hideMark/>
          </w:tcPr>
          <w:p w14:paraId="2ED418F5" w14:textId="77777777" w:rsidR="00135CCE" w:rsidRPr="009E5843" w:rsidRDefault="00135CCE" w:rsidP="00135C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de-DE"/>
              </w:rPr>
            </w:pPr>
          </w:p>
        </w:tc>
      </w:tr>
      <w:tr w:rsidR="00135CCE" w:rsidRPr="00135CCE" w14:paraId="26D3B85A" w14:textId="77777777" w:rsidTr="00D60FA1">
        <w:tc>
          <w:tcPr>
            <w:cnfStyle w:val="001000000000" w:firstRow="0" w:lastRow="0" w:firstColumn="1" w:lastColumn="0" w:oddVBand="0" w:evenVBand="0" w:oddHBand="0" w:evenHBand="0" w:firstRowFirstColumn="0" w:firstRowLastColumn="0" w:lastRowFirstColumn="0" w:lastRowLastColumn="0"/>
            <w:tcW w:w="0" w:type="auto"/>
            <w:hideMark/>
          </w:tcPr>
          <w:p w14:paraId="5E8B2E61" w14:textId="77777777" w:rsidR="00135CCE" w:rsidRPr="009E5843" w:rsidRDefault="00135CCE" w:rsidP="00135CCE">
            <w:pPr>
              <w:rPr>
                <w:rFonts w:ascii="Times New Roman" w:eastAsia="Times New Roman" w:hAnsi="Times New Roman" w:cs="Times New Roman"/>
                <w:lang w:eastAsia="de-DE"/>
              </w:rPr>
            </w:pPr>
            <w:r w:rsidRPr="009E5843">
              <w:rPr>
                <w:rFonts w:ascii="Courier New" w:eastAsia="Times New Roman" w:hAnsi="Courier New" w:cs="Courier New"/>
                <w:lang w:eastAsia="de-DE"/>
              </w:rPr>
              <w:t>PUNCT</w:t>
            </w:r>
          </w:p>
        </w:tc>
        <w:tc>
          <w:tcPr>
            <w:tcW w:w="0" w:type="auto"/>
            <w:hideMark/>
          </w:tcPr>
          <w:p w14:paraId="1C7F27C4" w14:textId="77777777" w:rsidR="00135CCE" w:rsidRPr="009E5843" w:rsidRDefault="00135CCE" w:rsidP="00135C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lang w:eastAsia="de-DE"/>
              </w:rPr>
              <w:t>Satzzeichen</w:t>
            </w:r>
          </w:p>
        </w:tc>
        <w:tc>
          <w:tcPr>
            <w:tcW w:w="3064" w:type="dxa"/>
            <w:hideMark/>
          </w:tcPr>
          <w:p w14:paraId="55254C97" w14:textId="77777777" w:rsidR="00135CCE" w:rsidRPr="009E5843" w:rsidRDefault="00135CCE" w:rsidP="00135C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b/>
                <w:bCs/>
                <w:lang w:eastAsia="de-DE"/>
              </w:rPr>
              <w:t>,</w:t>
            </w:r>
            <w:r w:rsidRPr="009E5843">
              <w:rPr>
                <w:rFonts w:ascii="Times New Roman" w:eastAsia="Times New Roman" w:hAnsi="Times New Roman" w:cs="Times New Roman"/>
                <w:lang w:eastAsia="de-DE"/>
              </w:rPr>
              <w:t xml:space="preserve"> </w:t>
            </w:r>
            <w:r w:rsidRPr="009E5843">
              <w:rPr>
                <w:rFonts w:ascii="Times New Roman" w:eastAsia="Times New Roman" w:hAnsi="Times New Roman" w:cs="Times New Roman"/>
                <w:b/>
                <w:bCs/>
                <w:lang w:eastAsia="de-DE"/>
              </w:rPr>
              <w:t>.</w:t>
            </w:r>
            <w:r w:rsidRPr="009E5843">
              <w:rPr>
                <w:rFonts w:ascii="Times New Roman" w:eastAsia="Times New Roman" w:hAnsi="Times New Roman" w:cs="Times New Roman"/>
                <w:lang w:eastAsia="de-DE"/>
              </w:rPr>
              <w:t xml:space="preserve"> </w:t>
            </w:r>
            <w:r w:rsidRPr="009E5843">
              <w:rPr>
                <w:rFonts w:ascii="Times New Roman" w:eastAsia="Times New Roman" w:hAnsi="Times New Roman" w:cs="Times New Roman"/>
                <w:b/>
                <w:bCs/>
                <w:lang w:eastAsia="de-DE"/>
              </w:rPr>
              <w:t>"</w:t>
            </w:r>
          </w:p>
        </w:tc>
        <w:tc>
          <w:tcPr>
            <w:tcW w:w="1859" w:type="dxa"/>
            <w:hideMark/>
          </w:tcPr>
          <w:p w14:paraId="12F81426" w14:textId="444EF51D" w:rsidR="00135CCE" w:rsidRPr="009E5843" w:rsidRDefault="00135CCE" w:rsidP="00135C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lang w:eastAsia="de-DE"/>
              </w:rPr>
              <w:t>P1</w:t>
            </w:r>
            <w:r w:rsidR="00282F66">
              <w:rPr>
                <w:rFonts w:ascii="Times New Roman" w:eastAsia="Times New Roman" w:hAnsi="Times New Roman" w:cs="Times New Roman"/>
                <w:lang w:eastAsia="de-DE"/>
              </w:rPr>
              <w:t>3</w:t>
            </w:r>
          </w:p>
        </w:tc>
      </w:tr>
      <w:tr w:rsidR="00135CCE" w:rsidRPr="00135CCE" w14:paraId="64C2B53E" w14:textId="77777777" w:rsidTr="00D60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4162F" w14:textId="77777777" w:rsidR="00135CCE" w:rsidRPr="009E5843" w:rsidRDefault="00135CCE" w:rsidP="00135CCE">
            <w:pPr>
              <w:rPr>
                <w:rFonts w:ascii="Times New Roman" w:eastAsia="Times New Roman" w:hAnsi="Times New Roman" w:cs="Times New Roman"/>
                <w:lang w:eastAsia="de-DE"/>
              </w:rPr>
            </w:pPr>
            <w:r w:rsidRPr="009E5843">
              <w:rPr>
                <w:rFonts w:ascii="Courier New" w:eastAsia="Times New Roman" w:hAnsi="Courier New" w:cs="Courier New"/>
                <w:lang w:eastAsia="de-DE"/>
              </w:rPr>
              <w:t>SCONJ</w:t>
            </w:r>
          </w:p>
        </w:tc>
        <w:tc>
          <w:tcPr>
            <w:tcW w:w="0" w:type="auto"/>
            <w:hideMark/>
          </w:tcPr>
          <w:p w14:paraId="6BE3D978" w14:textId="77777777" w:rsidR="00135CCE" w:rsidRPr="009E5843" w:rsidRDefault="00135CCE" w:rsidP="00135C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lang w:eastAsia="de-DE"/>
              </w:rPr>
              <w:t>unterordnende Konjunktion</w:t>
            </w:r>
          </w:p>
        </w:tc>
        <w:tc>
          <w:tcPr>
            <w:tcW w:w="3064" w:type="dxa"/>
            <w:hideMark/>
          </w:tcPr>
          <w:p w14:paraId="1F1ACCFA" w14:textId="77777777" w:rsidR="00135CCE" w:rsidRPr="009E5843" w:rsidRDefault="00135CCE" w:rsidP="00135C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b/>
                <w:bCs/>
                <w:lang w:eastAsia="de-DE"/>
              </w:rPr>
              <w:t>weil</w:t>
            </w:r>
            <w:r w:rsidRPr="009E5843">
              <w:rPr>
                <w:rFonts w:ascii="Times New Roman" w:eastAsia="Times New Roman" w:hAnsi="Times New Roman" w:cs="Times New Roman"/>
                <w:lang w:eastAsia="de-DE"/>
              </w:rPr>
              <w:t xml:space="preserve">, </w:t>
            </w:r>
            <w:r w:rsidRPr="009E5843">
              <w:rPr>
                <w:rFonts w:ascii="Times New Roman" w:eastAsia="Times New Roman" w:hAnsi="Times New Roman" w:cs="Times New Roman"/>
                <w:b/>
                <w:bCs/>
                <w:lang w:eastAsia="de-DE"/>
              </w:rPr>
              <w:t>dass</w:t>
            </w:r>
            <w:r w:rsidRPr="009E5843">
              <w:rPr>
                <w:rFonts w:ascii="Times New Roman" w:eastAsia="Times New Roman" w:hAnsi="Times New Roman" w:cs="Times New Roman"/>
                <w:lang w:eastAsia="de-DE"/>
              </w:rPr>
              <w:t xml:space="preserve">, </w:t>
            </w:r>
            <w:r w:rsidRPr="009E5843">
              <w:rPr>
                <w:rFonts w:ascii="Times New Roman" w:eastAsia="Times New Roman" w:hAnsi="Times New Roman" w:cs="Times New Roman"/>
                <w:b/>
                <w:bCs/>
                <w:lang w:eastAsia="de-DE"/>
              </w:rPr>
              <w:t>um</w:t>
            </w:r>
            <w:r w:rsidRPr="009E5843">
              <w:rPr>
                <w:rFonts w:ascii="Times New Roman" w:eastAsia="Times New Roman" w:hAnsi="Times New Roman" w:cs="Times New Roman"/>
                <w:lang w:eastAsia="de-DE"/>
              </w:rPr>
              <w:t xml:space="preserve"> zu</w:t>
            </w:r>
          </w:p>
        </w:tc>
        <w:tc>
          <w:tcPr>
            <w:tcW w:w="1859" w:type="dxa"/>
            <w:hideMark/>
          </w:tcPr>
          <w:p w14:paraId="62365A60" w14:textId="77777777" w:rsidR="00135CCE" w:rsidRPr="009E5843" w:rsidRDefault="00135CCE" w:rsidP="00135C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de-DE"/>
              </w:rPr>
            </w:pPr>
          </w:p>
        </w:tc>
      </w:tr>
      <w:tr w:rsidR="00135CCE" w:rsidRPr="00135CCE" w14:paraId="2329AC0B" w14:textId="77777777" w:rsidTr="00D60FA1">
        <w:tc>
          <w:tcPr>
            <w:cnfStyle w:val="001000000000" w:firstRow="0" w:lastRow="0" w:firstColumn="1" w:lastColumn="0" w:oddVBand="0" w:evenVBand="0" w:oddHBand="0" w:evenHBand="0" w:firstRowFirstColumn="0" w:firstRowLastColumn="0" w:lastRowFirstColumn="0" w:lastRowLastColumn="0"/>
            <w:tcW w:w="0" w:type="auto"/>
            <w:hideMark/>
          </w:tcPr>
          <w:p w14:paraId="1CAFF16E" w14:textId="77777777" w:rsidR="00135CCE" w:rsidRPr="009E5843" w:rsidRDefault="00135CCE" w:rsidP="00135CCE">
            <w:pPr>
              <w:rPr>
                <w:rFonts w:ascii="Times New Roman" w:eastAsia="Times New Roman" w:hAnsi="Times New Roman" w:cs="Times New Roman"/>
                <w:lang w:eastAsia="de-DE"/>
              </w:rPr>
            </w:pPr>
            <w:r w:rsidRPr="009E5843">
              <w:rPr>
                <w:rFonts w:ascii="Courier New" w:eastAsia="Times New Roman" w:hAnsi="Courier New" w:cs="Courier New"/>
                <w:lang w:eastAsia="de-DE"/>
              </w:rPr>
              <w:t>SYM</w:t>
            </w:r>
          </w:p>
        </w:tc>
        <w:tc>
          <w:tcPr>
            <w:tcW w:w="0" w:type="auto"/>
            <w:hideMark/>
          </w:tcPr>
          <w:p w14:paraId="24CDBDA3" w14:textId="77777777" w:rsidR="00135CCE" w:rsidRPr="009E5843" w:rsidRDefault="00135CCE" w:rsidP="00135C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lang w:eastAsia="de-DE"/>
              </w:rPr>
              <w:t>Symbol</w:t>
            </w:r>
          </w:p>
        </w:tc>
        <w:tc>
          <w:tcPr>
            <w:tcW w:w="3064" w:type="dxa"/>
            <w:hideMark/>
          </w:tcPr>
          <w:p w14:paraId="03F0E44B" w14:textId="77777777" w:rsidR="00135CCE" w:rsidRPr="009E5843" w:rsidRDefault="00135CCE" w:rsidP="00135C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b/>
                <w:bCs/>
                <w:lang w:eastAsia="de-DE"/>
              </w:rPr>
              <w:t>§</w:t>
            </w:r>
            <w:r w:rsidRPr="009E5843">
              <w:rPr>
                <w:rFonts w:ascii="Times New Roman" w:eastAsia="Times New Roman" w:hAnsi="Times New Roman" w:cs="Times New Roman"/>
                <w:lang w:eastAsia="de-DE"/>
              </w:rPr>
              <w:t xml:space="preserve">, </w:t>
            </w:r>
            <w:r w:rsidRPr="009E5843">
              <w:rPr>
                <w:rFonts w:ascii="Times New Roman" w:eastAsia="Times New Roman" w:hAnsi="Times New Roman" w:cs="Times New Roman"/>
                <w:b/>
                <w:bCs/>
                <w:lang w:eastAsia="de-DE"/>
              </w:rPr>
              <w:t>%</w:t>
            </w:r>
          </w:p>
        </w:tc>
        <w:tc>
          <w:tcPr>
            <w:tcW w:w="1859" w:type="dxa"/>
            <w:hideMark/>
          </w:tcPr>
          <w:p w14:paraId="4B72CF10" w14:textId="77777777" w:rsidR="00135CCE" w:rsidRPr="009E5843" w:rsidRDefault="00135CCE" w:rsidP="00135C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de-DE"/>
              </w:rPr>
            </w:pPr>
          </w:p>
        </w:tc>
      </w:tr>
      <w:tr w:rsidR="00135CCE" w:rsidRPr="00135CCE" w14:paraId="249974E0" w14:textId="77777777" w:rsidTr="00D60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B9D733" w14:textId="77777777" w:rsidR="00135CCE" w:rsidRPr="009E5843" w:rsidRDefault="00135CCE" w:rsidP="00135CCE">
            <w:pPr>
              <w:rPr>
                <w:rFonts w:ascii="Times New Roman" w:eastAsia="Times New Roman" w:hAnsi="Times New Roman" w:cs="Times New Roman"/>
                <w:lang w:eastAsia="de-DE"/>
              </w:rPr>
            </w:pPr>
            <w:r w:rsidRPr="009E5843">
              <w:rPr>
                <w:rFonts w:ascii="Courier New" w:eastAsia="Times New Roman" w:hAnsi="Courier New" w:cs="Courier New"/>
                <w:lang w:eastAsia="de-DE"/>
              </w:rPr>
              <w:t>VERB</w:t>
            </w:r>
          </w:p>
        </w:tc>
        <w:tc>
          <w:tcPr>
            <w:tcW w:w="0" w:type="auto"/>
            <w:hideMark/>
          </w:tcPr>
          <w:p w14:paraId="448171A8" w14:textId="77777777" w:rsidR="00135CCE" w:rsidRPr="009E5843" w:rsidRDefault="00135CCE" w:rsidP="00135C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lang w:eastAsia="de-DE"/>
              </w:rPr>
              <w:t>Vollverb in jeder Form</w:t>
            </w:r>
          </w:p>
        </w:tc>
        <w:tc>
          <w:tcPr>
            <w:tcW w:w="3064" w:type="dxa"/>
            <w:hideMark/>
          </w:tcPr>
          <w:p w14:paraId="34F2015D" w14:textId="77777777" w:rsidR="00135CCE" w:rsidRPr="009E5843" w:rsidRDefault="00135CCE" w:rsidP="00135C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lang w:eastAsia="de-DE"/>
              </w:rPr>
              <w:t xml:space="preserve">er </w:t>
            </w:r>
            <w:r w:rsidRPr="009E5843">
              <w:rPr>
                <w:rFonts w:ascii="Times New Roman" w:eastAsia="Times New Roman" w:hAnsi="Times New Roman" w:cs="Times New Roman"/>
                <w:b/>
                <w:bCs/>
                <w:lang w:eastAsia="de-DE"/>
              </w:rPr>
              <w:t>ging</w:t>
            </w:r>
            <w:r w:rsidRPr="009E5843">
              <w:rPr>
                <w:rFonts w:ascii="Times New Roman" w:eastAsia="Times New Roman" w:hAnsi="Times New Roman" w:cs="Times New Roman"/>
                <w:lang w:eastAsia="de-DE"/>
              </w:rPr>
              <w:t xml:space="preserve">, </w:t>
            </w:r>
            <w:r w:rsidRPr="009E5843">
              <w:rPr>
                <w:rFonts w:ascii="Times New Roman" w:eastAsia="Times New Roman" w:hAnsi="Times New Roman" w:cs="Times New Roman"/>
                <w:b/>
                <w:bCs/>
                <w:lang w:eastAsia="de-DE"/>
              </w:rPr>
              <w:t>gehen</w:t>
            </w:r>
            <w:r w:rsidRPr="009E5843">
              <w:rPr>
                <w:rFonts w:ascii="Times New Roman" w:eastAsia="Times New Roman" w:hAnsi="Times New Roman" w:cs="Times New Roman"/>
                <w:lang w:eastAsia="de-DE"/>
              </w:rPr>
              <w:t>, ge</w:t>
            </w:r>
            <w:r w:rsidRPr="009E5843">
              <w:rPr>
                <w:rFonts w:ascii="Times New Roman" w:eastAsia="Times New Roman" w:hAnsi="Times New Roman" w:cs="Times New Roman"/>
                <w:b/>
                <w:bCs/>
                <w:lang w:eastAsia="de-DE"/>
              </w:rPr>
              <w:t>sungen</w:t>
            </w:r>
          </w:p>
        </w:tc>
        <w:tc>
          <w:tcPr>
            <w:tcW w:w="1859" w:type="dxa"/>
            <w:hideMark/>
          </w:tcPr>
          <w:p w14:paraId="432B23A1" w14:textId="77777777" w:rsidR="00135CCE" w:rsidRPr="009E5843" w:rsidRDefault="00135CCE" w:rsidP="00135C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lang w:eastAsia="de-DE"/>
              </w:rPr>
              <w:t>P5, P6</w:t>
            </w:r>
          </w:p>
        </w:tc>
      </w:tr>
      <w:tr w:rsidR="00135CCE" w:rsidRPr="00135CCE" w14:paraId="706DFAEA" w14:textId="77777777" w:rsidTr="00D60FA1">
        <w:tc>
          <w:tcPr>
            <w:cnfStyle w:val="001000000000" w:firstRow="0" w:lastRow="0" w:firstColumn="1" w:lastColumn="0" w:oddVBand="0" w:evenVBand="0" w:oddHBand="0" w:evenHBand="0" w:firstRowFirstColumn="0" w:firstRowLastColumn="0" w:lastRowFirstColumn="0" w:lastRowLastColumn="0"/>
            <w:tcW w:w="0" w:type="auto"/>
            <w:hideMark/>
          </w:tcPr>
          <w:p w14:paraId="2E25749E" w14:textId="77777777" w:rsidR="00135CCE" w:rsidRPr="009E5843" w:rsidRDefault="00135CCE" w:rsidP="00135CCE">
            <w:pPr>
              <w:rPr>
                <w:rFonts w:ascii="Times New Roman" w:eastAsia="Times New Roman" w:hAnsi="Times New Roman" w:cs="Times New Roman"/>
                <w:lang w:eastAsia="de-DE"/>
              </w:rPr>
            </w:pPr>
            <w:r w:rsidRPr="009E5843">
              <w:rPr>
                <w:rFonts w:ascii="Courier New" w:eastAsia="Times New Roman" w:hAnsi="Courier New" w:cs="Courier New"/>
                <w:lang w:eastAsia="de-DE"/>
              </w:rPr>
              <w:t>X</w:t>
            </w:r>
          </w:p>
        </w:tc>
        <w:tc>
          <w:tcPr>
            <w:tcW w:w="0" w:type="auto"/>
            <w:hideMark/>
          </w:tcPr>
          <w:p w14:paraId="6DF7908F" w14:textId="77777777" w:rsidR="00135CCE" w:rsidRPr="009E5843" w:rsidRDefault="00135CCE" w:rsidP="00135C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lang w:eastAsia="de-DE"/>
              </w:rPr>
              <w:t>nicht zuordenbar</w:t>
            </w:r>
          </w:p>
        </w:tc>
        <w:tc>
          <w:tcPr>
            <w:tcW w:w="3064" w:type="dxa"/>
            <w:hideMark/>
          </w:tcPr>
          <w:p w14:paraId="4D71C2DF" w14:textId="77777777" w:rsidR="00135CCE" w:rsidRPr="009E5843" w:rsidRDefault="00135CCE" w:rsidP="00135C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de-DE"/>
              </w:rPr>
            </w:pPr>
            <w:r w:rsidRPr="009E5843">
              <w:rPr>
                <w:rFonts w:ascii="Times New Roman" w:eastAsia="Times New Roman" w:hAnsi="Times New Roman" w:cs="Times New Roman"/>
                <w:lang w:eastAsia="de-DE"/>
              </w:rPr>
              <w:t>Fremdmaterial, Fragment</w:t>
            </w:r>
          </w:p>
        </w:tc>
        <w:tc>
          <w:tcPr>
            <w:tcW w:w="1859" w:type="dxa"/>
            <w:hideMark/>
          </w:tcPr>
          <w:p w14:paraId="204DC7D8" w14:textId="77777777" w:rsidR="00135CCE" w:rsidRPr="009E5843" w:rsidRDefault="00135CCE" w:rsidP="00135C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de-DE"/>
              </w:rPr>
            </w:pPr>
          </w:p>
        </w:tc>
      </w:tr>
    </w:tbl>
    <w:p w14:paraId="4E3A8E95" w14:textId="77777777" w:rsidR="00135CCE" w:rsidRDefault="00135CCE">
      <w:pPr>
        <w:pStyle w:val="Textkrper"/>
      </w:pPr>
    </w:p>
    <w:p w14:paraId="0C11ECFA" w14:textId="361E94AD" w:rsidR="005C36DB" w:rsidRDefault="00000000">
      <w:pPr>
        <w:pStyle w:val="Textkrper"/>
      </w:pPr>
      <w:r>
        <w:t xml:space="preserve">Eine Unterscheidung nach Person, Numerus oder Verbform wird nicht getroffen. Sämtliche Formen eines Vollverbs erhalten </w:t>
      </w:r>
      <w:r>
        <w:rPr>
          <w:rStyle w:val="VerbatimChar"/>
        </w:rPr>
        <w:t>VERB</w:t>
      </w:r>
      <w:r>
        <w:t xml:space="preserve">, sämtliche Formen von </w:t>
      </w:r>
      <w:r>
        <w:rPr>
          <w:i/>
          <w:iCs/>
        </w:rPr>
        <w:t>sein</w:t>
      </w:r>
      <w:r>
        <w:t xml:space="preserve">, </w:t>
      </w:r>
      <w:r>
        <w:rPr>
          <w:i/>
          <w:iCs/>
        </w:rPr>
        <w:t>haben</w:t>
      </w:r>
      <w:r>
        <w:t xml:space="preserve">, </w:t>
      </w:r>
      <w:r>
        <w:rPr>
          <w:i/>
          <w:iCs/>
        </w:rPr>
        <w:t>werden</w:t>
      </w:r>
      <w:r>
        <w:t xml:space="preserve"> und der Modalverben erhalten </w:t>
      </w:r>
      <w:r>
        <w:rPr>
          <w:rStyle w:val="VerbatimChar"/>
        </w:rPr>
        <w:t>AUX</w:t>
      </w:r>
      <w:r>
        <w:t>.</w:t>
      </w:r>
    </w:p>
    <w:p w14:paraId="63AEDAC4" w14:textId="6339C500" w:rsidR="0043333C" w:rsidRDefault="0043333C">
      <w:pPr>
        <w:pStyle w:val="Textkrper"/>
      </w:pPr>
      <w:r>
        <w:t>Bei Unsicherheiten bitte zuerst die nachfolgenden Entscheidungsregeln konsultieren. Sollte der Fall anschließend immer noch unsicher sein, dann nach P15 vorgehen.</w:t>
      </w:r>
    </w:p>
    <w:p w14:paraId="360CF81B" w14:textId="77777777" w:rsidR="005C36DB" w:rsidRDefault="00000000">
      <w:pPr>
        <w:pStyle w:val="berschrift2"/>
      </w:pPr>
      <w:bookmarkStart w:id="11" w:name="_Toc236150382"/>
      <w:bookmarkStart w:id="12" w:name="entscheidungsregeln"/>
      <w:bookmarkEnd w:id="8"/>
      <w:bookmarkEnd w:id="10"/>
      <w:r>
        <w:t>4 Entscheidungsregeln</w:t>
      </w:r>
      <w:bookmarkEnd w:id="11"/>
    </w:p>
    <w:p w14:paraId="6E5B3AD5" w14:textId="4DF49DBB" w:rsidR="00A61926" w:rsidRPr="00A61926" w:rsidRDefault="00A61926" w:rsidP="00A61926">
      <w:pPr>
        <w:pStyle w:val="Textkrper"/>
      </w:pPr>
      <w:r>
        <w:t>Einige</w:t>
      </w:r>
      <w:r w:rsidRPr="00A61926">
        <w:t xml:space="preserve"> Regeln tragen den Zusatz </w:t>
      </w:r>
      <w:r w:rsidRPr="00A61926">
        <w:rPr>
          <w:b/>
          <w:bCs/>
        </w:rPr>
        <w:t>Projektfestlegung</w:t>
      </w:r>
      <w:r w:rsidR="00304FA1">
        <w:t>.</w:t>
      </w:r>
      <w:r w:rsidRPr="00A61926">
        <w:t xml:space="preserve"> Er bedeutet, dass die Fachliteratur den betreffenden Fall uneinheitlich behandelt und dieses Projekt eine eigene Entscheidung getroffen hat. Für die Annotation sind diese Regeln </w:t>
      </w:r>
      <w:r w:rsidRPr="00C43973">
        <w:t>ebenso verbindlich</w:t>
      </w:r>
      <w:r w:rsidRPr="00A61926">
        <w:t xml:space="preserve"> wie alle übrigen</w:t>
      </w:r>
      <w:r w:rsidR="007847E1">
        <w:t>.</w:t>
      </w:r>
    </w:p>
    <w:p w14:paraId="2A96E227" w14:textId="77777777" w:rsidR="005C36DB" w:rsidRDefault="00000000">
      <w:pPr>
        <w:pStyle w:val="berschrift3"/>
      </w:pPr>
      <w:bookmarkStart w:id="13" w:name="kernbereich-adjektive"/>
      <w:r>
        <w:t>Kernbereich Adjektive</w:t>
      </w:r>
    </w:p>
    <w:bookmarkEnd w:id="4"/>
    <w:bookmarkEnd w:id="12"/>
    <w:bookmarkEnd w:id="13"/>
    <w:p w14:paraId="7E470E17" w14:textId="04BE8D9B" w:rsidR="00521D4B" w:rsidRDefault="00521D4B" w:rsidP="001F6460">
      <w:pPr>
        <w:pStyle w:val="FirstParagraph"/>
        <w:ind w:left="720" w:hanging="720"/>
      </w:pPr>
      <w:r>
        <w:rPr>
          <w:b/>
          <w:bCs/>
        </w:rPr>
        <w:t xml:space="preserve">P1: </w:t>
      </w:r>
      <w:r w:rsidR="001F6460">
        <w:rPr>
          <w:b/>
          <w:bCs/>
        </w:rPr>
        <w:tab/>
      </w:r>
      <w:r>
        <w:rPr>
          <w:rStyle w:val="VerbatimChar"/>
          <w:b/>
          <w:bCs/>
        </w:rPr>
        <w:t>ADJA</w:t>
      </w:r>
      <w:r>
        <w:rPr>
          <w:b/>
          <w:bCs/>
        </w:rPr>
        <w:t xml:space="preserve"> bei Adjektiven vor einem Substantiv.</w:t>
      </w:r>
      <w:r>
        <w:t xml:space="preserve"> Beispiele: die </w:t>
      </w:r>
      <w:r>
        <w:rPr>
          <w:b/>
          <w:bCs/>
        </w:rPr>
        <w:t>alte</w:t>
      </w:r>
      <w:r>
        <w:t xml:space="preserve"> Frau, ein </w:t>
      </w:r>
      <w:r>
        <w:rPr>
          <w:b/>
          <w:bCs/>
        </w:rPr>
        <w:t>goldener</w:t>
      </w:r>
      <w:r>
        <w:t xml:space="preserve"> Ring, mit </w:t>
      </w:r>
      <w:r>
        <w:rPr>
          <w:b/>
          <w:bCs/>
        </w:rPr>
        <w:t>großem</w:t>
      </w:r>
      <w:r>
        <w:t xml:space="preserve"> Kummer. Die Regel gilt unabhängig davon, wie viele Adjektive aufeinanderfolgen; jedes erhält ein eigenes </w:t>
      </w:r>
      <w:r>
        <w:rPr>
          <w:rStyle w:val="VerbatimChar"/>
        </w:rPr>
        <w:t>ADJA</w:t>
      </w:r>
      <w:r>
        <w:t>.</w:t>
      </w:r>
    </w:p>
    <w:p w14:paraId="06F48843" w14:textId="1D4B1375" w:rsidR="00521D4B" w:rsidRDefault="00521D4B" w:rsidP="001F6460">
      <w:pPr>
        <w:pStyle w:val="Textkrper"/>
        <w:ind w:left="720" w:hanging="720"/>
      </w:pPr>
      <w:r>
        <w:rPr>
          <w:b/>
          <w:bCs/>
        </w:rPr>
        <w:t xml:space="preserve">P2: </w:t>
      </w:r>
      <w:r w:rsidR="001F6460">
        <w:rPr>
          <w:b/>
          <w:bCs/>
        </w:rPr>
        <w:tab/>
      </w:r>
      <w:r>
        <w:rPr>
          <w:rStyle w:val="VerbatimChar"/>
          <w:b/>
          <w:bCs/>
        </w:rPr>
        <w:t>ADJD</w:t>
      </w:r>
      <w:r>
        <w:rPr>
          <w:b/>
          <w:bCs/>
        </w:rPr>
        <w:t xml:space="preserve"> bei allen übrigen Adjektiven.</w:t>
      </w:r>
      <w:r>
        <w:t xml:space="preserve"> Beispiele: die Frau war </w:t>
      </w:r>
      <w:r>
        <w:rPr>
          <w:b/>
          <w:bCs/>
        </w:rPr>
        <w:t>alt</w:t>
      </w:r>
      <w:r>
        <w:t xml:space="preserve">, er lief </w:t>
      </w:r>
      <w:r>
        <w:rPr>
          <w:b/>
          <w:bCs/>
        </w:rPr>
        <w:t>schnell</w:t>
      </w:r>
      <w:r>
        <w:t xml:space="preserve">, sie sang </w:t>
      </w:r>
      <w:r>
        <w:rPr>
          <w:b/>
          <w:bCs/>
        </w:rPr>
        <w:t>schön</w:t>
      </w:r>
      <w:r>
        <w:t>.</w:t>
      </w:r>
    </w:p>
    <w:p w14:paraId="6E1C2836" w14:textId="533C9907" w:rsidR="00521D4B" w:rsidRDefault="00521D4B" w:rsidP="00521D4B">
      <w:pPr>
        <w:pStyle w:val="Textkrper"/>
      </w:pPr>
      <w:r>
        <w:rPr>
          <w:b/>
          <w:bCs/>
        </w:rPr>
        <w:lastRenderedPageBreak/>
        <w:t>Prüfschritt zu P1 und P2:</w:t>
      </w:r>
      <w:r>
        <w:t xml:space="preserve"> Entscheidend ist die Wortform, nicht die Bedeutung. Steht dort die Grundform wie im Wörterbuch (</w:t>
      </w:r>
      <w:r>
        <w:rPr>
          <w:i/>
          <w:iCs/>
        </w:rPr>
        <w:t>alt</w:t>
      </w:r>
      <w:r>
        <w:t xml:space="preserve">, </w:t>
      </w:r>
      <w:r>
        <w:rPr>
          <w:i/>
          <w:iCs/>
        </w:rPr>
        <w:t>schnell</w:t>
      </w:r>
      <w:r>
        <w:t xml:space="preserve">), ist es </w:t>
      </w:r>
      <w:r>
        <w:rPr>
          <w:rStyle w:val="VerbatimChar"/>
        </w:rPr>
        <w:t>ADJD</w:t>
      </w:r>
      <w:r>
        <w:t>; steht dort eine Form mit Endung (</w:t>
      </w:r>
      <w:r>
        <w:rPr>
          <w:i/>
          <w:iCs/>
        </w:rPr>
        <w:t>alte</w:t>
      </w:r>
      <w:r>
        <w:t xml:space="preserve">, </w:t>
      </w:r>
      <w:r>
        <w:rPr>
          <w:i/>
          <w:iCs/>
        </w:rPr>
        <w:t>alter</w:t>
      </w:r>
      <w:r>
        <w:t xml:space="preserve">, </w:t>
      </w:r>
      <w:r>
        <w:rPr>
          <w:i/>
          <w:iCs/>
        </w:rPr>
        <w:t>altem</w:t>
      </w:r>
      <w:r>
        <w:t xml:space="preserve">, </w:t>
      </w:r>
      <w:r>
        <w:rPr>
          <w:i/>
          <w:iCs/>
        </w:rPr>
        <w:t>altes</w:t>
      </w:r>
      <w:r>
        <w:t xml:space="preserve">), ist es </w:t>
      </w:r>
      <w:r>
        <w:rPr>
          <w:rStyle w:val="VerbatimChar"/>
        </w:rPr>
        <w:t>ADJA</w:t>
      </w:r>
      <w:r>
        <w:t>. Ausnahmen von dieser Faustregel regeln P8 und P</w:t>
      </w:r>
      <w:r w:rsidR="000022F3">
        <w:t>9</w:t>
      </w:r>
      <w:r>
        <w:t>.</w:t>
      </w:r>
    </w:p>
    <w:p w14:paraId="493F9075" w14:textId="6436200E" w:rsidR="00521D4B" w:rsidRDefault="00521D4B" w:rsidP="001F6460">
      <w:pPr>
        <w:pStyle w:val="Textkrper"/>
        <w:ind w:left="720" w:hanging="720"/>
      </w:pPr>
      <w:r>
        <w:rPr>
          <w:b/>
          <w:bCs/>
        </w:rPr>
        <w:t xml:space="preserve">P3: </w:t>
      </w:r>
      <w:r w:rsidR="001F6460">
        <w:rPr>
          <w:b/>
          <w:bCs/>
        </w:rPr>
        <w:tab/>
      </w:r>
      <w:r>
        <w:rPr>
          <w:b/>
          <w:bCs/>
        </w:rPr>
        <w:t xml:space="preserve">Nominalisierte Adjektive erhalten </w:t>
      </w:r>
      <w:r>
        <w:rPr>
          <w:rStyle w:val="VerbatimChar"/>
          <w:b/>
          <w:bCs/>
        </w:rPr>
        <w:t>NOUN</w:t>
      </w:r>
      <w:r>
        <w:rPr>
          <w:b/>
          <w:bCs/>
        </w:rPr>
        <w:t>.</w:t>
      </w:r>
      <w:r>
        <w:t xml:space="preserve"> Ein Adjektiv, das die Stelle eines Substantivs einnimmt, wird als Substantiv getaggt. Beispiele: die </w:t>
      </w:r>
      <w:r>
        <w:rPr>
          <w:b/>
          <w:bCs/>
        </w:rPr>
        <w:t>Alte</w:t>
      </w:r>
      <w:r>
        <w:t xml:space="preserve"> sprach, der </w:t>
      </w:r>
      <w:r>
        <w:rPr>
          <w:b/>
          <w:bCs/>
        </w:rPr>
        <w:t>Kleine</w:t>
      </w:r>
      <w:r>
        <w:t xml:space="preserve"> weinte, nichts </w:t>
      </w:r>
      <w:r>
        <w:rPr>
          <w:b/>
          <w:bCs/>
        </w:rPr>
        <w:t>Gutes</w:t>
      </w:r>
      <w:r>
        <w:t xml:space="preserve">, etwas </w:t>
      </w:r>
      <w:r>
        <w:rPr>
          <w:b/>
          <w:bCs/>
        </w:rPr>
        <w:t>Schönes</w:t>
      </w:r>
      <w:r>
        <w:t>.</w:t>
      </w:r>
    </w:p>
    <w:p w14:paraId="2695C7A0" w14:textId="77777777" w:rsidR="00521D4B" w:rsidRDefault="00521D4B" w:rsidP="00521D4B">
      <w:pPr>
        <w:pStyle w:val="Textkrper"/>
      </w:pPr>
      <w:r>
        <w:t xml:space="preserve">Diese Regel verdient besondere Aufmerksamkeit, weil das Märchenmaterial solche Formen häufig aufweist und weil eine Fehlvergabe unmittelbar in die Figurenprofile durchschlägt. Würde in „die </w:t>
      </w:r>
      <w:r>
        <w:rPr>
          <w:b/>
          <w:bCs/>
        </w:rPr>
        <w:t>Alte</w:t>
      </w:r>
      <w:r>
        <w:t xml:space="preserve"> sprach” das Tag </w:t>
      </w:r>
      <w:r>
        <w:rPr>
          <w:rStyle w:val="VerbatimChar"/>
        </w:rPr>
        <w:t>ADJA</w:t>
      </w:r>
      <w:r>
        <w:t xml:space="preserve"> vergeben, entstünde im Ergebnis ein Adjektiv, das der Text nicht enthält.</w:t>
      </w:r>
    </w:p>
    <w:p w14:paraId="5B1806E9" w14:textId="44522EC3" w:rsidR="00521D4B" w:rsidRDefault="00521D4B" w:rsidP="00521D4B">
      <w:pPr>
        <w:pStyle w:val="Textkrper"/>
      </w:pPr>
      <w:r>
        <w:rPr>
          <w:b/>
          <w:bCs/>
        </w:rPr>
        <w:t>Prüfschritt zu P3:</w:t>
      </w:r>
      <w:r>
        <w:t xml:space="preserve"> </w:t>
      </w:r>
      <w:r w:rsidR="00DC46CB">
        <w:t>Frage dich</w:t>
      </w:r>
      <w:r>
        <w:t xml:space="preserve">, ob ein Substantiv folgt, auf das sich das Wort bezieht. Fehlt ein solches Substantiv und bezeichnet das Wort selbst eine Person oder Sache, liegt </w:t>
      </w:r>
      <w:r>
        <w:rPr>
          <w:rStyle w:val="VerbatimChar"/>
        </w:rPr>
        <w:t>NOUN</w:t>
      </w:r>
      <w:r>
        <w:t xml:space="preserve"> vor. Die Großschreibung im Original liefert einen Hinweis, entscheidet aber nicht allein, da ältere Textausgaben uneinheitlich verfahren.</w:t>
      </w:r>
    </w:p>
    <w:p w14:paraId="43CE04EA" w14:textId="2991C9C0" w:rsidR="00521D4B" w:rsidRDefault="00521D4B" w:rsidP="001F6460">
      <w:pPr>
        <w:pStyle w:val="Textkrper"/>
        <w:ind w:left="720" w:hanging="720"/>
      </w:pPr>
      <w:r>
        <w:rPr>
          <w:b/>
          <w:bCs/>
        </w:rPr>
        <w:t xml:space="preserve">P4: </w:t>
      </w:r>
      <w:r w:rsidR="001F6460">
        <w:rPr>
          <w:b/>
          <w:bCs/>
        </w:rPr>
        <w:tab/>
      </w:r>
      <w:r>
        <w:rPr>
          <w:b/>
          <w:bCs/>
        </w:rPr>
        <w:t>Partizipien vor einem Substantiv zählen als Adjektive.</w:t>
      </w:r>
      <w:r>
        <w:t xml:space="preserve"> Sie erhalten </w:t>
      </w:r>
      <w:r>
        <w:rPr>
          <w:rStyle w:val="VerbatimChar"/>
        </w:rPr>
        <w:t>ADJA</w:t>
      </w:r>
      <w:r>
        <w:t xml:space="preserve"> wie gewöhnliche Adjektive; P1 gilt für sie unverändert. Beispiele: die </w:t>
      </w:r>
      <w:r>
        <w:rPr>
          <w:b/>
          <w:bCs/>
        </w:rPr>
        <w:t>singende</w:t>
      </w:r>
      <w:r>
        <w:t xml:space="preserve"> Frau, das </w:t>
      </w:r>
      <w:r>
        <w:rPr>
          <w:b/>
          <w:bCs/>
        </w:rPr>
        <w:t>gebratene</w:t>
      </w:r>
      <w:r>
        <w:t xml:space="preserve"> Huhn, ein </w:t>
      </w:r>
      <w:r>
        <w:rPr>
          <w:b/>
          <w:bCs/>
        </w:rPr>
        <w:t>verwunschener</w:t>
      </w:r>
      <w:r>
        <w:t xml:space="preserve"> Wald.</w:t>
      </w:r>
    </w:p>
    <w:p w14:paraId="519F70E7" w14:textId="77777777" w:rsidR="00521D4B" w:rsidRDefault="00521D4B" w:rsidP="00521D4B">
      <w:pPr>
        <w:pStyle w:val="Textkrper"/>
      </w:pPr>
      <w:r>
        <w:t xml:space="preserve">Diese Gruppe tritt im Märchenmaterial mit einiger Regelmäßigkeit auf und verdient deshalb besondere Aufmerksamkeit. Adjektivisch gebrauchte Partizipien gehen unmittelbar in die Adjektiv-Figuren-Profile ein; wird stattdessen </w:t>
      </w:r>
      <w:r>
        <w:rPr>
          <w:rStyle w:val="VerbatimChar"/>
        </w:rPr>
        <w:t>VERB</w:t>
      </w:r>
      <w:r>
        <w:t xml:space="preserve"> vergeben, entfällt die betreffende Charakterisierung vollständig aus dem Ergebnis.</w:t>
      </w:r>
    </w:p>
    <w:p w14:paraId="6CBB3D55" w14:textId="61B83209" w:rsidR="00521D4B" w:rsidRDefault="00521D4B" w:rsidP="001F6460">
      <w:pPr>
        <w:pStyle w:val="Textkrper"/>
        <w:ind w:left="720" w:hanging="720"/>
      </w:pPr>
      <w:r>
        <w:rPr>
          <w:b/>
          <w:bCs/>
        </w:rPr>
        <w:t>P5:</w:t>
      </w:r>
      <w:r w:rsidR="001F6460">
        <w:rPr>
          <w:b/>
          <w:bCs/>
        </w:rPr>
        <w:tab/>
      </w:r>
      <w:r>
        <w:rPr>
          <w:b/>
          <w:bCs/>
        </w:rPr>
        <w:t>Partizipien als Teil einer Verbform.</w:t>
      </w:r>
      <w:r>
        <w:t xml:space="preserve"> Bildet das Partizip zusammen mit einem Hilfsverb eine Verbform, erhält das Partizip </w:t>
      </w:r>
      <w:r>
        <w:rPr>
          <w:rStyle w:val="VerbatimChar"/>
        </w:rPr>
        <w:t>VERB</w:t>
      </w:r>
      <w:r>
        <w:t xml:space="preserve">, während die begleitende Form von </w:t>
      </w:r>
      <w:r>
        <w:rPr>
          <w:i/>
          <w:iCs/>
        </w:rPr>
        <w:t>haben</w:t>
      </w:r>
      <w:r>
        <w:t xml:space="preserve">, </w:t>
      </w:r>
      <w:r>
        <w:rPr>
          <w:i/>
          <w:iCs/>
        </w:rPr>
        <w:t>sein</w:t>
      </w:r>
      <w:r>
        <w:t xml:space="preserve"> oder </w:t>
      </w:r>
      <w:r>
        <w:rPr>
          <w:i/>
          <w:iCs/>
        </w:rPr>
        <w:t>werden</w:t>
      </w:r>
      <w:r>
        <w:t xml:space="preserve"> das Tag </w:t>
      </w:r>
      <w:r>
        <w:rPr>
          <w:rStyle w:val="VerbatimChar"/>
        </w:rPr>
        <w:t>AUX</w:t>
      </w:r>
      <w:r>
        <w:t xml:space="preserve"> erhält. In „sie </w:t>
      </w:r>
      <w:r>
        <w:rPr>
          <w:b/>
          <w:bCs/>
        </w:rPr>
        <w:t>hat</w:t>
      </w:r>
      <w:r>
        <w:t xml:space="preserve"> ge</w:t>
      </w:r>
      <w:r>
        <w:rPr>
          <w:b/>
          <w:bCs/>
        </w:rPr>
        <w:t>sungen</w:t>
      </w:r>
      <w:r>
        <w:t xml:space="preserve">” wird </w:t>
      </w:r>
      <w:r>
        <w:rPr>
          <w:i/>
          <w:iCs/>
        </w:rPr>
        <w:t>hat</w:t>
      </w:r>
      <w:r>
        <w:t xml:space="preserve"> als </w:t>
      </w:r>
      <w:r>
        <w:rPr>
          <w:rStyle w:val="VerbatimChar"/>
        </w:rPr>
        <w:t>AUX</w:t>
      </w:r>
      <w:r>
        <w:t xml:space="preserve"> und </w:t>
      </w:r>
      <w:r>
        <w:rPr>
          <w:i/>
          <w:iCs/>
        </w:rPr>
        <w:t>gesungen</w:t>
      </w:r>
      <w:r>
        <w:t xml:space="preserve"> als </w:t>
      </w:r>
      <w:r>
        <w:rPr>
          <w:rStyle w:val="VerbatimChar"/>
        </w:rPr>
        <w:t>VERB</w:t>
      </w:r>
      <w:r>
        <w:t xml:space="preserve"> getaggt; ebenso verhält es sich in „das Huhn wurde </w:t>
      </w:r>
      <w:r>
        <w:rPr>
          <w:b/>
          <w:bCs/>
        </w:rPr>
        <w:t>gebraten</w:t>
      </w:r>
      <w:r>
        <w:t>”.</w:t>
      </w:r>
    </w:p>
    <w:p w14:paraId="662CE9E7" w14:textId="72647229" w:rsidR="00521D4B" w:rsidRDefault="00521D4B" w:rsidP="001F6460">
      <w:pPr>
        <w:pStyle w:val="Textkrper"/>
        <w:ind w:left="720" w:hanging="720"/>
      </w:pPr>
      <w:r>
        <w:rPr>
          <w:b/>
          <w:bCs/>
        </w:rPr>
        <w:t xml:space="preserve">P6: </w:t>
      </w:r>
      <w:r w:rsidR="001F6460">
        <w:rPr>
          <w:b/>
          <w:bCs/>
        </w:rPr>
        <w:tab/>
      </w:r>
      <w:r>
        <w:rPr>
          <w:b/>
          <w:bCs/>
        </w:rPr>
        <w:t xml:space="preserve">Partizipien nach einer Form von </w:t>
      </w:r>
      <w:r>
        <w:rPr>
          <w:b/>
          <w:bCs/>
          <w:i/>
          <w:iCs/>
        </w:rPr>
        <w:t>sein</w:t>
      </w:r>
      <w:r>
        <w:rPr>
          <w:b/>
          <w:bCs/>
        </w:rPr>
        <w:t>.</w:t>
      </w:r>
      <w:r>
        <w:t xml:space="preserve"> </w:t>
      </w:r>
      <w:r>
        <w:rPr>
          <w:i/>
          <w:iCs/>
        </w:rPr>
        <w:t>Projektfestlegung.</w:t>
      </w:r>
      <w:r>
        <w:t xml:space="preserve"> Hier wird geprüft, ob ein Vorgang oder ein Zustand beschrieben wird. Beschreibt die Form einen abgeschlossenen Vorgang und lässt sich ein Urheber ergänzen, erhält sie </w:t>
      </w:r>
      <w:r>
        <w:rPr>
          <w:rStyle w:val="VerbatimChar"/>
        </w:rPr>
        <w:t>VERB</w:t>
      </w:r>
      <w:r>
        <w:t xml:space="preserve">; beschreibt sie eine Eigenschaft und lässt sie sich durch </w:t>
      </w:r>
      <w:r>
        <w:rPr>
          <w:i/>
          <w:iCs/>
        </w:rPr>
        <w:t>sehr</w:t>
      </w:r>
      <w:r>
        <w:t xml:space="preserve"> steigern oder durch ein einfaches Adjektiv ersetzen, erhält sie </w:t>
      </w:r>
      <w:r>
        <w:rPr>
          <w:rStyle w:val="VerbatimChar"/>
        </w:rPr>
        <w:t>ADJD</w:t>
      </w:r>
      <w:r>
        <w:t>.</w:t>
      </w:r>
    </w:p>
    <w:p w14:paraId="64161EDA" w14:textId="77777777" w:rsidR="00521D4B" w:rsidRDefault="00521D4B" w:rsidP="00521D4B">
      <w:pPr>
        <w:pStyle w:val="Textkrper"/>
      </w:pPr>
      <w:r>
        <w:t xml:space="preserve">Beispiele: „das Tor war </w:t>
      </w:r>
      <w:r>
        <w:rPr>
          <w:b/>
          <w:bCs/>
        </w:rPr>
        <w:t>verschlossen</w:t>
      </w:r>
      <w:r>
        <w:t xml:space="preserve"> worden” beschreibt einen Vorgang, folglich </w:t>
      </w:r>
      <w:r>
        <w:rPr>
          <w:rStyle w:val="VerbatimChar"/>
        </w:rPr>
        <w:t>VERB</w:t>
      </w:r>
      <w:r>
        <w:t xml:space="preserve">. „sie war </w:t>
      </w:r>
      <w:r>
        <w:rPr>
          <w:b/>
          <w:bCs/>
        </w:rPr>
        <w:t>überrascht</w:t>
      </w:r>
      <w:r>
        <w:t xml:space="preserve">” beschreibt eine Eigenschaft und ließe sich zu „sehr überrascht” steigern, folglich </w:t>
      </w:r>
      <w:r>
        <w:rPr>
          <w:rStyle w:val="VerbatimChar"/>
        </w:rPr>
        <w:t>ADJD</w:t>
      </w:r>
      <w:r>
        <w:t>.</w:t>
      </w:r>
    </w:p>
    <w:p w14:paraId="3FAA8C87" w14:textId="042F456D" w:rsidR="00521D4B" w:rsidRDefault="00521D4B" w:rsidP="00521D4B">
      <w:pPr>
        <w:pStyle w:val="Textkrper"/>
      </w:pPr>
      <w:r>
        <w:t xml:space="preserve">Diese Abgrenzung gehört zu den schwierigsten des gesamten </w:t>
      </w:r>
      <w:proofErr w:type="spellStart"/>
      <w:r>
        <w:t>Tagsets</w:t>
      </w:r>
      <w:proofErr w:type="spellEnd"/>
      <w:r>
        <w:t xml:space="preserve">. Bei verbleibender Unsicherheit wird die Kennzeichnung nach P15 gesetzt und der Fall </w:t>
      </w:r>
      <w:r w:rsidR="00FA6BA9">
        <w:t>im Nachgang für Tranche 2</w:t>
      </w:r>
      <w:r>
        <w:t xml:space="preserve"> </w:t>
      </w:r>
      <w:r w:rsidR="00B94893">
        <w:t>nochmals konkretisiert</w:t>
      </w:r>
      <w:r>
        <w:t>.</w:t>
      </w:r>
    </w:p>
    <w:p w14:paraId="0CDDF023" w14:textId="127C8882" w:rsidR="00521D4B" w:rsidRDefault="00521D4B" w:rsidP="001F6460">
      <w:pPr>
        <w:pStyle w:val="Textkrper"/>
        <w:ind w:left="720" w:hanging="720"/>
      </w:pPr>
      <w:r>
        <w:rPr>
          <w:b/>
          <w:bCs/>
        </w:rPr>
        <w:t xml:space="preserve">P7: </w:t>
      </w:r>
      <w:r w:rsidR="001F6460">
        <w:rPr>
          <w:b/>
          <w:bCs/>
        </w:rPr>
        <w:tab/>
      </w:r>
      <w:r>
        <w:rPr>
          <w:b/>
          <w:bCs/>
        </w:rPr>
        <w:t>Komparativ und Superlativ behalten das Tag der Grundform.</w:t>
      </w:r>
      <w:r>
        <w:t xml:space="preserve"> Beispiele: das </w:t>
      </w:r>
      <w:r>
        <w:rPr>
          <w:b/>
          <w:bCs/>
        </w:rPr>
        <w:t>schönere</w:t>
      </w:r>
      <w:r>
        <w:t xml:space="preserve"> Kleid erhält </w:t>
      </w:r>
      <w:r>
        <w:rPr>
          <w:rStyle w:val="VerbatimChar"/>
        </w:rPr>
        <w:t>ADJA</w:t>
      </w:r>
      <w:r>
        <w:t xml:space="preserve">, sie sang </w:t>
      </w:r>
      <w:r>
        <w:rPr>
          <w:b/>
          <w:bCs/>
        </w:rPr>
        <w:t>schöner</w:t>
      </w:r>
      <w:r>
        <w:t xml:space="preserve"> erhält </w:t>
      </w:r>
      <w:r>
        <w:rPr>
          <w:rStyle w:val="VerbatimChar"/>
        </w:rPr>
        <w:t>ADJD</w:t>
      </w:r>
      <w:r>
        <w:t xml:space="preserve">. In der Verbindung mit </w:t>
      </w:r>
      <w:r>
        <w:rPr>
          <w:i/>
          <w:iCs/>
        </w:rPr>
        <w:t>am</w:t>
      </w:r>
      <w:r>
        <w:t xml:space="preserve"> </w:t>
      </w:r>
      <w:r>
        <w:lastRenderedPageBreak/>
        <w:t xml:space="preserve">wird die Partikel als </w:t>
      </w:r>
      <w:r>
        <w:rPr>
          <w:rStyle w:val="VerbatimChar"/>
        </w:rPr>
        <w:t>PART</w:t>
      </w:r>
      <w:r>
        <w:t xml:space="preserve"> und das Adjektiv als </w:t>
      </w:r>
      <w:r>
        <w:rPr>
          <w:rStyle w:val="VerbatimChar"/>
        </w:rPr>
        <w:t>ADJD</w:t>
      </w:r>
      <w:r>
        <w:t xml:space="preserve"> getaggt: </w:t>
      </w:r>
      <w:r>
        <w:rPr>
          <w:b/>
          <w:bCs/>
        </w:rPr>
        <w:t>am</w:t>
      </w:r>
      <w:r>
        <w:t xml:space="preserve"> </w:t>
      </w:r>
      <w:r>
        <w:rPr>
          <w:rStyle w:val="VerbatimChar"/>
        </w:rPr>
        <w:t>PART</w:t>
      </w:r>
      <w:r>
        <w:t xml:space="preserve"> </w:t>
      </w:r>
      <w:r>
        <w:rPr>
          <w:b/>
          <w:bCs/>
        </w:rPr>
        <w:t>schönsten</w:t>
      </w:r>
      <w:r>
        <w:t xml:space="preserve"> </w:t>
      </w:r>
      <w:r>
        <w:rPr>
          <w:rStyle w:val="VerbatimChar"/>
        </w:rPr>
        <w:t>ADJD</w:t>
      </w:r>
      <w:r>
        <w:t>.</w:t>
      </w:r>
    </w:p>
    <w:p w14:paraId="7BFE5DFC" w14:textId="5DE5A50F" w:rsidR="00521D4B" w:rsidRDefault="00521D4B" w:rsidP="001F6460">
      <w:pPr>
        <w:pStyle w:val="Textkrper"/>
        <w:ind w:left="720" w:hanging="720"/>
      </w:pPr>
      <w:r>
        <w:rPr>
          <w:b/>
          <w:bCs/>
        </w:rPr>
        <w:t>P</w:t>
      </w:r>
      <w:r w:rsidR="00282F66">
        <w:rPr>
          <w:b/>
          <w:bCs/>
        </w:rPr>
        <w:t>8</w:t>
      </w:r>
      <w:r>
        <w:rPr>
          <w:b/>
          <w:bCs/>
        </w:rPr>
        <w:t xml:space="preserve">: </w:t>
      </w:r>
      <w:r w:rsidR="001F6460">
        <w:rPr>
          <w:b/>
          <w:bCs/>
        </w:rPr>
        <w:tab/>
      </w:r>
      <w:r>
        <w:rPr>
          <w:rStyle w:val="VerbatimChar"/>
          <w:b/>
          <w:bCs/>
        </w:rPr>
        <w:t>ADJD</w:t>
      </w:r>
      <w:r>
        <w:rPr>
          <w:b/>
          <w:bCs/>
        </w:rPr>
        <w:t xml:space="preserve"> gegenüber </w:t>
      </w:r>
      <w:r>
        <w:rPr>
          <w:rStyle w:val="VerbatimChar"/>
          <w:b/>
          <w:bCs/>
        </w:rPr>
        <w:t>ADV</w:t>
      </w:r>
      <w:r>
        <w:rPr>
          <w:b/>
          <w:bCs/>
        </w:rPr>
        <w:t>.</w:t>
      </w:r>
      <w:r>
        <w:t xml:space="preserve"> Beide Tags treten in derselben Position auf. Unterschieden wird danach, ob sich das Wort mit Endung vor ein Substantiv stellen lässt: Ist das möglich, erhält es </w:t>
      </w:r>
      <w:r>
        <w:rPr>
          <w:rStyle w:val="VerbatimChar"/>
        </w:rPr>
        <w:t>ADJD</w:t>
      </w:r>
      <w:r>
        <w:t xml:space="preserve">; ist es ausgeschlossen, erhält es </w:t>
      </w:r>
      <w:r>
        <w:rPr>
          <w:rStyle w:val="VerbatimChar"/>
        </w:rPr>
        <w:t>ADV</w:t>
      </w:r>
      <w:r>
        <w:t>.</w:t>
      </w:r>
    </w:p>
    <w:p w14:paraId="68687B83" w14:textId="77777777" w:rsidR="00521D4B" w:rsidRDefault="00521D4B" w:rsidP="00521D4B">
      <w:pPr>
        <w:pStyle w:val="Textkrper"/>
      </w:pPr>
      <w:r>
        <w:t xml:space="preserve">Beispiele: „er lief </w:t>
      </w:r>
      <w:r>
        <w:rPr>
          <w:b/>
          <w:bCs/>
        </w:rPr>
        <w:t>schnell</w:t>
      </w:r>
      <w:r>
        <w:t xml:space="preserve">” erhält </w:t>
      </w:r>
      <w:r>
        <w:rPr>
          <w:rStyle w:val="VerbatimChar"/>
        </w:rPr>
        <w:t>ADJD</w:t>
      </w:r>
      <w:r>
        <w:t xml:space="preserve">, weil „der schnelle Läufer” möglich ist. „er kam </w:t>
      </w:r>
      <w:r>
        <w:rPr>
          <w:b/>
          <w:bCs/>
        </w:rPr>
        <w:t>oft</w:t>
      </w:r>
      <w:r>
        <w:t xml:space="preserve">” erhält </w:t>
      </w:r>
      <w:r>
        <w:rPr>
          <w:rStyle w:val="VerbatimChar"/>
        </w:rPr>
        <w:t>ADV</w:t>
      </w:r>
      <w:r>
        <w:t xml:space="preserve">, weil „der </w:t>
      </w:r>
      <w:proofErr w:type="spellStart"/>
      <w:r>
        <w:t>ofte</w:t>
      </w:r>
      <w:proofErr w:type="spellEnd"/>
      <w:r>
        <w:t xml:space="preserve"> Besuch” ausgeschlossen bleibt. Ebenso erhalten </w:t>
      </w:r>
      <w:r>
        <w:rPr>
          <w:b/>
          <w:bCs/>
        </w:rPr>
        <w:t>sehr</w:t>
      </w:r>
      <w:r>
        <w:t xml:space="preserve">, </w:t>
      </w:r>
      <w:r>
        <w:rPr>
          <w:b/>
          <w:bCs/>
        </w:rPr>
        <w:t>gern</w:t>
      </w:r>
      <w:r>
        <w:t xml:space="preserve">, </w:t>
      </w:r>
      <w:r>
        <w:rPr>
          <w:b/>
          <w:bCs/>
        </w:rPr>
        <w:t>hier</w:t>
      </w:r>
      <w:r>
        <w:t xml:space="preserve">, </w:t>
      </w:r>
      <w:r>
        <w:rPr>
          <w:b/>
          <w:bCs/>
        </w:rPr>
        <w:t>dort</w:t>
      </w:r>
      <w:r>
        <w:t xml:space="preserve"> und </w:t>
      </w:r>
      <w:r>
        <w:rPr>
          <w:b/>
          <w:bCs/>
        </w:rPr>
        <w:t>bald</w:t>
      </w:r>
      <w:r>
        <w:t xml:space="preserve"> das Tag </w:t>
      </w:r>
      <w:r>
        <w:rPr>
          <w:rStyle w:val="VerbatimChar"/>
        </w:rPr>
        <w:t>ADV</w:t>
      </w:r>
      <w:r>
        <w:t>.</w:t>
      </w:r>
    </w:p>
    <w:p w14:paraId="0B57513F" w14:textId="7E60D828" w:rsidR="00521D4B" w:rsidRDefault="00521D4B" w:rsidP="001F6460">
      <w:pPr>
        <w:pStyle w:val="Textkrper"/>
        <w:ind w:left="720" w:hanging="720"/>
      </w:pPr>
      <w:r>
        <w:rPr>
          <w:b/>
          <w:bCs/>
        </w:rPr>
        <w:t>P</w:t>
      </w:r>
      <w:r w:rsidR="00282F66">
        <w:rPr>
          <w:b/>
          <w:bCs/>
        </w:rPr>
        <w:t>9</w:t>
      </w:r>
      <w:r>
        <w:rPr>
          <w:b/>
          <w:bCs/>
        </w:rPr>
        <w:t xml:space="preserve">: </w:t>
      </w:r>
      <w:r w:rsidR="001F6460">
        <w:rPr>
          <w:b/>
          <w:bCs/>
        </w:rPr>
        <w:tab/>
      </w:r>
      <w:r w:rsidR="00723633" w:rsidRPr="00723633">
        <w:rPr>
          <w:b/>
          <w:bCs/>
        </w:rPr>
        <w:t>Nachgestellte Adjektive ohne Endung</w:t>
      </w:r>
      <w:r>
        <w:rPr>
          <w:b/>
          <w:bCs/>
        </w:rPr>
        <w:t>.</w:t>
      </w:r>
      <w:r>
        <w:t xml:space="preserve"> </w:t>
      </w:r>
      <w:r>
        <w:rPr>
          <w:i/>
          <w:iCs/>
        </w:rPr>
        <w:t>Projektfestlegung.</w:t>
      </w:r>
      <w:r>
        <w:t xml:space="preserve"> </w:t>
      </w:r>
      <w:r w:rsidR="00723633">
        <w:t>I</w:t>
      </w:r>
      <w:r w:rsidR="00723633" w:rsidRPr="00723633">
        <w:t xml:space="preserve">n Märchen und Volksliedern steht das Adjektiv gelegentlich </w:t>
      </w:r>
      <w:r w:rsidR="00723633" w:rsidRPr="00723633">
        <w:rPr>
          <w:b/>
          <w:bCs/>
        </w:rPr>
        <w:t>hinter</w:t>
      </w:r>
      <w:r w:rsidR="00723633" w:rsidRPr="00723633">
        <w:t xml:space="preserve"> dem Substantiv, etwa „Röslein </w:t>
      </w:r>
      <w:r w:rsidR="00723633" w:rsidRPr="00723633">
        <w:rPr>
          <w:b/>
          <w:bCs/>
        </w:rPr>
        <w:t>rot</w:t>
      </w:r>
      <w:r w:rsidR="00723633" w:rsidRPr="00723633">
        <w:t xml:space="preserve">", „Hänschen </w:t>
      </w:r>
      <w:r w:rsidR="00723633" w:rsidRPr="00723633">
        <w:rPr>
          <w:b/>
          <w:bCs/>
        </w:rPr>
        <w:t>klein</w:t>
      </w:r>
      <w:r w:rsidR="00723633" w:rsidRPr="00723633">
        <w:t xml:space="preserve">" oder „Forelle </w:t>
      </w:r>
      <w:r w:rsidR="00723633" w:rsidRPr="00723633">
        <w:rPr>
          <w:b/>
          <w:bCs/>
        </w:rPr>
        <w:t>blau</w:t>
      </w:r>
      <w:r w:rsidR="00723633" w:rsidRPr="00723633">
        <w:t>". Solche Formen erhalten ADJA, weil sie das vorangehende Substantiv unmittelbar bestimmen.</w:t>
      </w:r>
    </w:p>
    <w:p w14:paraId="7C89BCBF" w14:textId="5FA23D1C" w:rsidR="00E74367" w:rsidRDefault="00E74367" w:rsidP="00E74367">
      <w:pPr>
        <w:pStyle w:val="Textkrper"/>
      </w:pPr>
      <w:r w:rsidRPr="00E74367">
        <w:rPr>
          <w:b/>
          <w:bCs/>
        </w:rPr>
        <w:t>Prüfschritt zu P9:</w:t>
      </w:r>
      <w:r w:rsidRPr="00E74367">
        <w:t xml:space="preserve"> </w:t>
      </w:r>
      <w:r w:rsidR="00A65A67" w:rsidRPr="00A65A67">
        <w:t>Lässt sich das Adjektiv mit Endung vor das Substantiv ziehen, ohne dass der Satz seinen Sinn verliert?</w:t>
      </w:r>
    </w:p>
    <w:tbl>
      <w:tblPr>
        <w:tblStyle w:val="Gitternetztabelle1hell"/>
        <w:tblW w:w="9145" w:type="dxa"/>
        <w:tblLook w:val="04A0" w:firstRow="1" w:lastRow="0" w:firstColumn="1" w:lastColumn="0" w:noHBand="0" w:noVBand="1"/>
      </w:tblPr>
      <w:tblGrid>
        <w:gridCol w:w="4077"/>
        <w:gridCol w:w="3898"/>
        <w:gridCol w:w="1170"/>
      </w:tblGrid>
      <w:tr w:rsidR="00A65A67" w:rsidRPr="00A65A67" w14:paraId="70BC3A3C" w14:textId="77777777" w:rsidTr="00B145F2">
        <w:trPr>
          <w:cnfStyle w:val="100000000000" w:firstRow="1" w:lastRow="0" w:firstColumn="0" w:lastColumn="0" w:oddVBand="0" w:evenVBand="0" w:oddHBand="0"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0" w:type="auto"/>
            <w:hideMark/>
          </w:tcPr>
          <w:p w14:paraId="586B9E00" w14:textId="77777777" w:rsidR="00A65A67" w:rsidRPr="00A65A67" w:rsidRDefault="00A65A67" w:rsidP="00A65A67">
            <w:pPr>
              <w:pStyle w:val="Textkrper"/>
            </w:pPr>
            <w:r w:rsidRPr="00A65A67">
              <w:t>Wendung</w:t>
            </w:r>
          </w:p>
        </w:tc>
        <w:tc>
          <w:tcPr>
            <w:tcW w:w="0" w:type="auto"/>
            <w:hideMark/>
          </w:tcPr>
          <w:p w14:paraId="339952A6" w14:textId="77777777" w:rsidR="00A65A67" w:rsidRPr="00A65A67" w:rsidRDefault="00A65A67" w:rsidP="00A65A67">
            <w:pPr>
              <w:pStyle w:val="Textkrper"/>
              <w:cnfStyle w:val="100000000000" w:firstRow="1" w:lastRow="0" w:firstColumn="0" w:lastColumn="0" w:oddVBand="0" w:evenVBand="0" w:oddHBand="0" w:evenHBand="0" w:firstRowFirstColumn="0" w:firstRowLastColumn="0" w:lastRowFirstColumn="0" w:lastRowLastColumn="0"/>
            </w:pPr>
            <w:r w:rsidRPr="00A65A67">
              <w:t>Umstellprobe</w:t>
            </w:r>
          </w:p>
        </w:tc>
        <w:tc>
          <w:tcPr>
            <w:tcW w:w="0" w:type="auto"/>
            <w:hideMark/>
          </w:tcPr>
          <w:p w14:paraId="1C046C52" w14:textId="77777777" w:rsidR="00A65A67" w:rsidRPr="00A65A67" w:rsidRDefault="00A65A67" w:rsidP="00A65A67">
            <w:pPr>
              <w:pStyle w:val="Textkrper"/>
              <w:cnfStyle w:val="100000000000" w:firstRow="1" w:lastRow="0" w:firstColumn="0" w:lastColumn="0" w:oddVBand="0" w:evenVBand="0" w:oddHBand="0" w:evenHBand="0" w:firstRowFirstColumn="0" w:firstRowLastColumn="0" w:lastRowFirstColumn="0" w:lastRowLastColumn="0"/>
            </w:pPr>
            <w:r w:rsidRPr="00A65A67">
              <w:t>Tag</w:t>
            </w:r>
          </w:p>
        </w:tc>
      </w:tr>
      <w:tr w:rsidR="00A65A67" w:rsidRPr="00A65A67" w14:paraId="53FAD2B0" w14:textId="77777777" w:rsidTr="00B145F2">
        <w:trPr>
          <w:trHeight w:val="360"/>
        </w:trPr>
        <w:tc>
          <w:tcPr>
            <w:cnfStyle w:val="001000000000" w:firstRow="0" w:lastRow="0" w:firstColumn="1" w:lastColumn="0" w:oddVBand="0" w:evenVBand="0" w:oddHBand="0" w:evenHBand="0" w:firstRowFirstColumn="0" w:firstRowLastColumn="0" w:lastRowFirstColumn="0" w:lastRowLastColumn="0"/>
            <w:tcW w:w="0" w:type="auto"/>
            <w:hideMark/>
          </w:tcPr>
          <w:p w14:paraId="001315B3" w14:textId="77777777" w:rsidR="00A65A67" w:rsidRPr="00A65A67" w:rsidRDefault="00A65A67" w:rsidP="00A65A67">
            <w:pPr>
              <w:pStyle w:val="Textkrper"/>
            </w:pPr>
            <w:r w:rsidRPr="00A65A67">
              <w:t>Röslein rot</w:t>
            </w:r>
          </w:p>
        </w:tc>
        <w:tc>
          <w:tcPr>
            <w:tcW w:w="0" w:type="auto"/>
            <w:hideMark/>
          </w:tcPr>
          <w:p w14:paraId="773417EA" w14:textId="77777777" w:rsidR="00A65A67" w:rsidRPr="00A65A67" w:rsidRDefault="00A65A67" w:rsidP="00A65A67">
            <w:pPr>
              <w:pStyle w:val="Textkrper"/>
              <w:cnfStyle w:val="000000000000" w:firstRow="0" w:lastRow="0" w:firstColumn="0" w:lastColumn="0" w:oddVBand="0" w:evenVBand="0" w:oddHBand="0" w:evenHBand="0" w:firstRowFirstColumn="0" w:firstRowLastColumn="0" w:lastRowFirstColumn="0" w:lastRowLastColumn="0"/>
            </w:pPr>
            <w:r w:rsidRPr="00A65A67">
              <w:t xml:space="preserve">rotes Röslein </w:t>
            </w:r>
            <w:r w:rsidRPr="00A65A67">
              <w:rPr>
                <w:rFonts w:ascii="Segoe UI Symbol" w:hAnsi="Segoe UI Symbol" w:cs="Segoe UI Symbol"/>
              </w:rPr>
              <w:t>✓</w:t>
            </w:r>
          </w:p>
        </w:tc>
        <w:tc>
          <w:tcPr>
            <w:tcW w:w="0" w:type="auto"/>
            <w:hideMark/>
          </w:tcPr>
          <w:p w14:paraId="24866C70" w14:textId="77777777" w:rsidR="00A65A67" w:rsidRPr="00A65A67" w:rsidRDefault="00A65A67" w:rsidP="00A65A67">
            <w:pPr>
              <w:pStyle w:val="Textkrper"/>
              <w:cnfStyle w:val="000000000000" w:firstRow="0" w:lastRow="0" w:firstColumn="0" w:lastColumn="0" w:oddVBand="0" w:evenVBand="0" w:oddHBand="0" w:evenHBand="0" w:firstRowFirstColumn="0" w:firstRowLastColumn="0" w:lastRowFirstColumn="0" w:lastRowLastColumn="0"/>
            </w:pPr>
            <w:r w:rsidRPr="00A65A67">
              <w:t>ADJA</w:t>
            </w:r>
          </w:p>
        </w:tc>
      </w:tr>
      <w:tr w:rsidR="00A65A67" w:rsidRPr="00A65A67" w14:paraId="44C75F9D" w14:textId="77777777" w:rsidTr="00B145F2">
        <w:trPr>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58718726" w14:textId="77777777" w:rsidR="00A65A67" w:rsidRPr="00A65A67" w:rsidRDefault="00A65A67" w:rsidP="00A65A67">
            <w:pPr>
              <w:pStyle w:val="Textkrper"/>
            </w:pPr>
            <w:r w:rsidRPr="00A65A67">
              <w:t>das Röslein blühte rot</w:t>
            </w:r>
          </w:p>
        </w:tc>
        <w:tc>
          <w:tcPr>
            <w:tcW w:w="0" w:type="auto"/>
            <w:hideMark/>
          </w:tcPr>
          <w:p w14:paraId="165A9526" w14:textId="77777777" w:rsidR="00A65A67" w:rsidRPr="00A65A67" w:rsidRDefault="00A65A67" w:rsidP="00A65A67">
            <w:pPr>
              <w:pStyle w:val="Textkrper"/>
              <w:cnfStyle w:val="000000000000" w:firstRow="0" w:lastRow="0" w:firstColumn="0" w:lastColumn="0" w:oddVBand="0" w:evenVBand="0" w:oddHBand="0" w:evenHBand="0" w:firstRowFirstColumn="0" w:firstRowLastColumn="0" w:lastRowFirstColumn="0" w:lastRowLastColumn="0"/>
            </w:pPr>
            <w:r w:rsidRPr="00A65A67">
              <w:t xml:space="preserve">rotes Röslein blühte </w:t>
            </w:r>
            <w:r w:rsidRPr="00A65A67">
              <w:rPr>
                <w:rFonts w:ascii="Segoe UI Symbol" w:hAnsi="Segoe UI Symbol" w:cs="Segoe UI Symbol"/>
              </w:rPr>
              <w:t>✗</w:t>
            </w:r>
          </w:p>
        </w:tc>
        <w:tc>
          <w:tcPr>
            <w:tcW w:w="0" w:type="auto"/>
            <w:hideMark/>
          </w:tcPr>
          <w:p w14:paraId="2C188C34" w14:textId="77777777" w:rsidR="00A65A67" w:rsidRPr="00A65A67" w:rsidRDefault="00A65A67" w:rsidP="00A65A67">
            <w:pPr>
              <w:pStyle w:val="Textkrper"/>
              <w:cnfStyle w:val="000000000000" w:firstRow="0" w:lastRow="0" w:firstColumn="0" w:lastColumn="0" w:oddVBand="0" w:evenVBand="0" w:oddHBand="0" w:evenHBand="0" w:firstRowFirstColumn="0" w:firstRowLastColumn="0" w:lastRowFirstColumn="0" w:lastRowLastColumn="0"/>
            </w:pPr>
            <w:r w:rsidRPr="00A65A67">
              <w:t>ADJD</w:t>
            </w:r>
          </w:p>
        </w:tc>
      </w:tr>
    </w:tbl>
    <w:p w14:paraId="32C3FDA5" w14:textId="77172308" w:rsidR="00521D4B" w:rsidRPr="00A65A67" w:rsidRDefault="00A65A67" w:rsidP="00521D4B">
      <w:pPr>
        <w:pStyle w:val="Textkrper"/>
      </w:pPr>
      <w:r w:rsidRPr="00A65A67">
        <w:t>Im ersten Fall gehört das Adjektiv zum Substantiv, im zweiten zum Verb. Dort ließe sich nur „das Röslein war rot" bilden, also eine Aussage über das Substantiv statt einer Bestimmung; deshalb gilt P2.</w:t>
      </w:r>
    </w:p>
    <w:p w14:paraId="23E66674" w14:textId="77777777" w:rsidR="00521D4B" w:rsidRDefault="00521D4B" w:rsidP="00521D4B">
      <w:pPr>
        <w:pStyle w:val="berschrift3"/>
      </w:pPr>
      <w:bookmarkStart w:id="14" w:name="übrige-wortarten"/>
      <w:r>
        <w:t>Übrige Wortarten</w:t>
      </w:r>
    </w:p>
    <w:p w14:paraId="58F53CDE" w14:textId="38DAC1E1" w:rsidR="00521D4B" w:rsidRDefault="00521D4B" w:rsidP="001F6460">
      <w:pPr>
        <w:pStyle w:val="FirstParagraph"/>
        <w:ind w:left="720" w:hanging="720"/>
      </w:pPr>
      <w:r>
        <w:rPr>
          <w:b/>
          <w:bCs/>
        </w:rPr>
        <w:t>P1</w:t>
      </w:r>
      <w:r w:rsidR="00282F66">
        <w:rPr>
          <w:b/>
          <w:bCs/>
        </w:rPr>
        <w:t>0</w:t>
      </w:r>
      <w:r>
        <w:rPr>
          <w:b/>
          <w:bCs/>
        </w:rPr>
        <w:t xml:space="preserve">: </w:t>
      </w:r>
      <w:r w:rsidR="001F6460">
        <w:rPr>
          <w:b/>
          <w:bCs/>
        </w:rPr>
        <w:tab/>
      </w:r>
      <w:r>
        <w:rPr>
          <w:b/>
          <w:bCs/>
        </w:rPr>
        <w:t>Zahlwörter.</w:t>
      </w:r>
      <w:r>
        <w:t xml:space="preserve"> Kardinalzahlen erhalten </w:t>
      </w:r>
      <w:r>
        <w:rPr>
          <w:rStyle w:val="VerbatimChar"/>
        </w:rPr>
        <w:t>NUM</w:t>
      </w:r>
      <w:r>
        <w:t xml:space="preserve">, unabhängig von ihrer Stellung: </w:t>
      </w:r>
      <w:r>
        <w:rPr>
          <w:b/>
          <w:bCs/>
        </w:rPr>
        <w:t>drei</w:t>
      </w:r>
      <w:r>
        <w:t xml:space="preserve"> Brüder, sie waren zu </w:t>
      </w:r>
      <w:r>
        <w:rPr>
          <w:b/>
          <w:bCs/>
        </w:rPr>
        <w:t>siebt</w:t>
      </w:r>
      <w:r>
        <w:t xml:space="preserve">. Ordnungszahlen werden dagegen wie Adjektive behandelt und erhalten vor einem Substantiv </w:t>
      </w:r>
      <w:r>
        <w:rPr>
          <w:rStyle w:val="VerbatimChar"/>
        </w:rPr>
        <w:t>ADJA</w:t>
      </w:r>
      <w:r>
        <w:t xml:space="preserve">: der </w:t>
      </w:r>
      <w:r>
        <w:rPr>
          <w:b/>
          <w:bCs/>
        </w:rPr>
        <w:t>dritte</w:t>
      </w:r>
      <w:r>
        <w:t xml:space="preserve"> Sohn.</w:t>
      </w:r>
    </w:p>
    <w:p w14:paraId="532CEA7D" w14:textId="04098106" w:rsidR="00521D4B" w:rsidRDefault="00521D4B" w:rsidP="001F6460">
      <w:pPr>
        <w:pStyle w:val="Textkrper"/>
        <w:ind w:left="720" w:hanging="720"/>
      </w:pPr>
      <w:r>
        <w:rPr>
          <w:b/>
          <w:bCs/>
        </w:rPr>
        <w:t>P1</w:t>
      </w:r>
      <w:r w:rsidR="00282F66">
        <w:rPr>
          <w:b/>
          <w:bCs/>
        </w:rPr>
        <w:t>1</w:t>
      </w:r>
      <w:r>
        <w:rPr>
          <w:b/>
          <w:bCs/>
        </w:rPr>
        <w:t xml:space="preserve">: </w:t>
      </w:r>
      <w:r w:rsidR="001F6460">
        <w:rPr>
          <w:b/>
          <w:bCs/>
        </w:rPr>
        <w:tab/>
      </w:r>
      <w:r>
        <w:rPr>
          <w:b/>
          <w:bCs/>
        </w:rPr>
        <w:t>Verbzusätze.</w:t>
      </w:r>
      <w:r>
        <w:t xml:space="preserve"> </w:t>
      </w:r>
      <w:r>
        <w:rPr>
          <w:i/>
          <w:iCs/>
        </w:rPr>
        <w:t>Projektfestlegung.</w:t>
      </w:r>
      <w:r>
        <w:t xml:space="preserve"> Ein abgetrennter Verbzusatz erhält </w:t>
      </w:r>
      <w:r>
        <w:rPr>
          <w:rStyle w:val="VerbatimChar"/>
        </w:rPr>
        <w:t>PART</w:t>
      </w:r>
      <w:r>
        <w:t xml:space="preserve">, auch wenn die betreffende Form isoliert einer anderen Wortart angehören könnte. Beispiel: „sie sah ihn </w:t>
      </w:r>
      <w:r>
        <w:rPr>
          <w:b/>
          <w:bCs/>
        </w:rPr>
        <w:t>an</w:t>
      </w:r>
      <w:r>
        <w:t xml:space="preserve">” erhält </w:t>
      </w:r>
      <w:r>
        <w:rPr>
          <w:rStyle w:val="VerbatimChar"/>
        </w:rPr>
        <w:t>PART</w:t>
      </w:r>
      <w:r>
        <w:t xml:space="preserve">, nicht </w:t>
      </w:r>
      <w:r>
        <w:rPr>
          <w:rStyle w:val="VerbatimChar"/>
        </w:rPr>
        <w:t>ADP</w:t>
      </w:r>
      <w:r>
        <w:t>.</w:t>
      </w:r>
    </w:p>
    <w:p w14:paraId="7D2C8F14" w14:textId="3E35BBDC" w:rsidR="00521D4B" w:rsidRDefault="00521D4B" w:rsidP="00521D4B">
      <w:pPr>
        <w:pStyle w:val="Textkrper"/>
      </w:pPr>
      <w:r>
        <w:rPr>
          <w:b/>
          <w:bCs/>
        </w:rPr>
        <w:t>Prüfschritt zu P1</w:t>
      </w:r>
      <w:r w:rsidR="00332B73">
        <w:rPr>
          <w:b/>
          <w:bCs/>
        </w:rPr>
        <w:t>1</w:t>
      </w:r>
      <w:r>
        <w:rPr>
          <w:b/>
          <w:bCs/>
        </w:rPr>
        <w:t>:</w:t>
      </w:r>
      <w:r>
        <w:t xml:space="preserve"> Es wird gefragt, ob sich das Wort mit dem Verb zu einer bekannten Grundform verbinden lässt. Ergibt „ansehen” ein Verb, liegt ein Verbzusatz vor.</w:t>
      </w:r>
    </w:p>
    <w:p w14:paraId="3179F205" w14:textId="6396B028" w:rsidR="00521D4B" w:rsidRDefault="00521D4B" w:rsidP="001F6460">
      <w:pPr>
        <w:pStyle w:val="Textkrper"/>
        <w:ind w:left="720" w:hanging="720"/>
      </w:pPr>
      <w:r>
        <w:rPr>
          <w:b/>
          <w:bCs/>
        </w:rPr>
        <w:t>P1</w:t>
      </w:r>
      <w:r w:rsidR="00282F66">
        <w:rPr>
          <w:b/>
          <w:bCs/>
        </w:rPr>
        <w:t>2</w:t>
      </w:r>
      <w:r>
        <w:rPr>
          <w:b/>
          <w:bCs/>
        </w:rPr>
        <w:t xml:space="preserve">: </w:t>
      </w:r>
      <w:r w:rsidR="001F6460">
        <w:rPr>
          <w:b/>
          <w:bCs/>
        </w:rPr>
        <w:tab/>
      </w:r>
      <w:r>
        <w:rPr>
          <w:b/>
          <w:bCs/>
        </w:rPr>
        <w:t>Pronomen.</w:t>
      </w:r>
      <w:r>
        <w:t xml:space="preserve"> Maßgeblich ist, ob ein Substantiv folgt. „</w:t>
      </w:r>
      <w:r>
        <w:rPr>
          <w:b/>
          <w:bCs/>
        </w:rPr>
        <w:t>Dieser</w:t>
      </w:r>
      <w:r>
        <w:t xml:space="preserve"> Mann kam” erhält </w:t>
      </w:r>
      <w:r>
        <w:rPr>
          <w:rStyle w:val="VerbatimChar"/>
        </w:rPr>
        <w:t>DET</w:t>
      </w:r>
      <w:r>
        <w:t>, „</w:t>
      </w:r>
      <w:r>
        <w:rPr>
          <w:b/>
          <w:bCs/>
        </w:rPr>
        <w:t>dieser</w:t>
      </w:r>
      <w:r>
        <w:t xml:space="preserve"> kam” erhält </w:t>
      </w:r>
      <w:r>
        <w:rPr>
          <w:rStyle w:val="VerbatimChar"/>
        </w:rPr>
        <w:t>PRON</w:t>
      </w:r>
      <w:r>
        <w:t xml:space="preserve">. Dasselbe Prinzip gilt für Indefinit-, Possessiv-, Relativ- und Interrogativpronomen; der Artikel erhält stets </w:t>
      </w:r>
      <w:r>
        <w:rPr>
          <w:rStyle w:val="VerbatimChar"/>
        </w:rPr>
        <w:t>DET</w:t>
      </w:r>
      <w:r>
        <w:t>.</w:t>
      </w:r>
    </w:p>
    <w:p w14:paraId="2E46781E" w14:textId="018B106D" w:rsidR="00521D4B" w:rsidRDefault="00521D4B" w:rsidP="001F6460">
      <w:pPr>
        <w:pStyle w:val="Textkrper"/>
        <w:ind w:left="720" w:hanging="720"/>
      </w:pPr>
      <w:r>
        <w:rPr>
          <w:b/>
          <w:bCs/>
        </w:rPr>
        <w:t>P1</w:t>
      </w:r>
      <w:r w:rsidR="00282F66">
        <w:rPr>
          <w:b/>
          <w:bCs/>
        </w:rPr>
        <w:t>3</w:t>
      </w:r>
      <w:r>
        <w:rPr>
          <w:b/>
          <w:bCs/>
        </w:rPr>
        <w:t xml:space="preserve">: </w:t>
      </w:r>
      <w:r w:rsidR="001F6460">
        <w:rPr>
          <w:b/>
          <w:bCs/>
        </w:rPr>
        <w:tab/>
      </w:r>
      <w:r>
        <w:rPr>
          <w:b/>
          <w:bCs/>
        </w:rPr>
        <w:t>Satzzeichen.</w:t>
      </w:r>
      <w:r>
        <w:t xml:space="preserve"> Sämtliche Satzzeichen erhalten </w:t>
      </w:r>
      <w:r>
        <w:rPr>
          <w:rStyle w:val="VerbatimChar"/>
        </w:rPr>
        <w:t>PUNCT</w:t>
      </w:r>
      <w:r>
        <w:t>, einschließlich Anführungszeichen, Klammern und Gedankenstrichen. Eine Unterscheidung nach Zeichenart wird nicht getroffen.</w:t>
      </w:r>
    </w:p>
    <w:p w14:paraId="607AE99E" w14:textId="77777777" w:rsidR="00521D4B" w:rsidRDefault="00521D4B" w:rsidP="00521D4B">
      <w:pPr>
        <w:pStyle w:val="berschrift3"/>
      </w:pPr>
      <w:bookmarkStart w:id="15" w:name="arbeitsregeln"/>
      <w:bookmarkEnd w:id="14"/>
      <w:r>
        <w:lastRenderedPageBreak/>
        <w:t>Arbeitsregeln</w:t>
      </w:r>
    </w:p>
    <w:p w14:paraId="531CD407" w14:textId="12C3D8AB" w:rsidR="00521D4B" w:rsidRDefault="00521D4B" w:rsidP="001F6460">
      <w:pPr>
        <w:pStyle w:val="FirstParagraph"/>
        <w:ind w:left="720" w:hanging="720"/>
      </w:pPr>
      <w:r>
        <w:rPr>
          <w:b/>
          <w:bCs/>
        </w:rPr>
        <w:t>P1</w:t>
      </w:r>
      <w:r w:rsidR="00282F66">
        <w:rPr>
          <w:b/>
          <w:bCs/>
        </w:rPr>
        <w:t>4</w:t>
      </w:r>
      <w:r>
        <w:rPr>
          <w:b/>
          <w:bCs/>
        </w:rPr>
        <w:t xml:space="preserve">: </w:t>
      </w:r>
      <w:r w:rsidR="001F6460">
        <w:rPr>
          <w:b/>
          <w:bCs/>
        </w:rPr>
        <w:tab/>
      </w:r>
      <w:r>
        <w:rPr>
          <w:b/>
          <w:bCs/>
        </w:rPr>
        <w:t>Kennzeichnung unsicherer Entscheidungen.</w:t>
      </w:r>
      <w:r>
        <w:t xml:space="preserve"> Lässt sich ein Fall nach dieser Richtlinie nicht entscheiden, wird das nach bestem Ermessen gewählte Tag eingetragen und in der Spalte </w:t>
      </w:r>
      <w:r>
        <w:rPr>
          <w:rStyle w:val="VerbatimChar"/>
        </w:rPr>
        <w:t>unsicher</w:t>
      </w:r>
      <w:r>
        <w:t xml:space="preserve"> ein </w:t>
      </w:r>
      <w:r>
        <w:rPr>
          <w:rStyle w:val="VerbatimChar"/>
        </w:rPr>
        <w:t>x</w:t>
      </w:r>
      <w:r>
        <w:t xml:space="preserve"> gesetzt. Wirft der Fall eine Regelfrage auf, wird sie in der Spalte </w:t>
      </w:r>
      <w:proofErr w:type="spellStart"/>
      <w:r>
        <w:rPr>
          <w:rStyle w:val="VerbatimChar"/>
        </w:rPr>
        <w:t>kommentar</w:t>
      </w:r>
      <w:proofErr w:type="spellEnd"/>
      <w:r>
        <w:t xml:space="preserve"> derselben Zeile festgehalten.</w:t>
      </w:r>
      <w:r w:rsidR="001B42DF">
        <w:t xml:space="preserve"> </w:t>
      </w:r>
      <w:r>
        <w:t xml:space="preserve">Diese Kennzeichnung dient der Auswertung und wird ausdrücklich erwünscht. </w:t>
      </w:r>
    </w:p>
    <w:p w14:paraId="13FEF7F2" w14:textId="235955DA" w:rsidR="00521D4B" w:rsidRDefault="00521D4B" w:rsidP="001F6460">
      <w:pPr>
        <w:pStyle w:val="Textkrper"/>
        <w:ind w:left="720" w:hanging="720"/>
      </w:pPr>
      <w:r>
        <w:rPr>
          <w:b/>
          <w:bCs/>
        </w:rPr>
        <w:t>P1</w:t>
      </w:r>
      <w:r w:rsidR="00282F66">
        <w:rPr>
          <w:b/>
          <w:bCs/>
        </w:rPr>
        <w:t>5</w:t>
      </w:r>
      <w:r>
        <w:rPr>
          <w:b/>
          <w:bCs/>
        </w:rPr>
        <w:t xml:space="preserve">: </w:t>
      </w:r>
      <w:r w:rsidR="001F6460">
        <w:rPr>
          <w:b/>
          <w:bCs/>
        </w:rPr>
        <w:tab/>
      </w:r>
      <w:r>
        <w:rPr>
          <w:b/>
          <w:bCs/>
        </w:rPr>
        <w:t>Tokenisierung bleibt unverändert.</w:t>
      </w:r>
      <w:r>
        <w:t xml:space="preserve"> Die </w:t>
      </w:r>
      <w:proofErr w:type="spellStart"/>
      <w:r>
        <w:t>Tokenspalte</w:t>
      </w:r>
      <w:proofErr w:type="spellEnd"/>
      <w:r>
        <w:t xml:space="preserve"> wird unter keinen Umständen verändert, ergänzt oder zusammengefasst, auch dann nicht, wenn die vorliegende Aufteilung ungewöhnlich erscheint. Jede Zeile erhält genau ein Tag. Zeilen werden weder gelöscht noch hinzugefügt, und die Reihenfolge bleibt erhalten.</w:t>
      </w:r>
      <w:bookmarkEnd w:id="15"/>
    </w:p>
    <w:sectPr w:rsidR="00521D4B">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B08A8" w14:textId="77777777" w:rsidR="004B436C" w:rsidRDefault="004B436C">
      <w:pPr>
        <w:spacing w:after="0"/>
      </w:pPr>
      <w:r>
        <w:separator/>
      </w:r>
    </w:p>
  </w:endnote>
  <w:endnote w:type="continuationSeparator" w:id="0">
    <w:p w14:paraId="04DC62DA" w14:textId="77777777" w:rsidR="004B436C" w:rsidRDefault="004B436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D8068" w14:textId="77777777" w:rsidR="004B436C" w:rsidRDefault="004B436C">
      <w:r>
        <w:separator/>
      </w:r>
    </w:p>
  </w:footnote>
  <w:footnote w:type="continuationSeparator" w:id="0">
    <w:p w14:paraId="5EA77562" w14:textId="77777777" w:rsidR="004B436C" w:rsidRDefault="004B43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CACF41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3EE00E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063207339">
    <w:abstractNumId w:val="0"/>
  </w:num>
  <w:num w:numId="2" w16cid:durableId="17217794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6DB"/>
    <w:rsid w:val="000022F3"/>
    <w:rsid w:val="000B4D20"/>
    <w:rsid w:val="000C4605"/>
    <w:rsid w:val="00135CCE"/>
    <w:rsid w:val="001671AA"/>
    <w:rsid w:val="001956C8"/>
    <w:rsid w:val="001B42DF"/>
    <w:rsid w:val="001C2AD2"/>
    <w:rsid w:val="001F4008"/>
    <w:rsid w:val="001F6460"/>
    <w:rsid w:val="00282F66"/>
    <w:rsid w:val="00304FA1"/>
    <w:rsid w:val="00331A28"/>
    <w:rsid w:val="00332B73"/>
    <w:rsid w:val="003737F1"/>
    <w:rsid w:val="003D3576"/>
    <w:rsid w:val="0043333C"/>
    <w:rsid w:val="00442ECA"/>
    <w:rsid w:val="00470616"/>
    <w:rsid w:val="0048153E"/>
    <w:rsid w:val="004A2511"/>
    <w:rsid w:val="004B3F3B"/>
    <w:rsid w:val="004B436C"/>
    <w:rsid w:val="004F3483"/>
    <w:rsid w:val="00521D4B"/>
    <w:rsid w:val="005C36DB"/>
    <w:rsid w:val="00626C98"/>
    <w:rsid w:val="00655822"/>
    <w:rsid w:val="006A320F"/>
    <w:rsid w:val="006E3B9C"/>
    <w:rsid w:val="0070287D"/>
    <w:rsid w:val="00723633"/>
    <w:rsid w:val="007847E1"/>
    <w:rsid w:val="0079644B"/>
    <w:rsid w:val="00804236"/>
    <w:rsid w:val="008C214A"/>
    <w:rsid w:val="008D0D1B"/>
    <w:rsid w:val="009345E1"/>
    <w:rsid w:val="009E5843"/>
    <w:rsid w:val="00A23620"/>
    <w:rsid w:val="00A61926"/>
    <w:rsid w:val="00A65A67"/>
    <w:rsid w:val="00A748F7"/>
    <w:rsid w:val="00A826E8"/>
    <w:rsid w:val="00AC77C6"/>
    <w:rsid w:val="00AE064E"/>
    <w:rsid w:val="00AF36D8"/>
    <w:rsid w:val="00B145F2"/>
    <w:rsid w:val="00B60D39"/>
    <w:rsid w:val="00B670D2"/>
    <w:rsid w:val="00B94893"/>
    <w:rsid w:val="00BC01DD"/>
    <w:rsid w:val="00C43973"/>
    <w:rsid w:val="00D16754"/>
    <w:rsid w:val="00D60FA1"/>
    <w:rsid w:val="00DC46CB"/>
    <w:rsid w:val="00DD06E1"/>
    <w:rsid w:val="00DD3F34"/>
    <w:rsid w:val="00E02093"/>
    <w:rsid w:val="00E03810"/>
    <w:rsid w:val="00E43D58"/>
    <w:rsid w:val="00E74367"/>
    <w:rsid w:val="00E958A7"/>
    <w:rsid w:val="00EC7CF8"/>
    <w:rsid w:val="00EF0191"/>
    <w:rsid w:val="00F26E02"/>
    <w:rsid w:val="00F54DC4"/>
    <w:rsid w:val="00FA6BA9"/>
    <w:rsid w:val="00FC7AC6"/>
    <w:rsid w:val="00FF56A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C1B34"/>
  <w15:docId w15:val="{6E257B90-D9E0-43E8-A022-B0D4794EB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Strong" w:uiPriority="22"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link w:val="berschrift2Zchn"/>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link w:val="berschrift3Zchn"/>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uiPriority w:val="99"/>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Verzeichnis1">
    <w:name w:val="toc 1"/>
    <w:basedOn w:val="Standard"/>
    <w:next w:val="Standard"/>
    <w:autoRedefine/>
    <w:uiPriority w:val="39"/>
    <w:rsid w:val="00DD3F34"/>
    <w:pPr>
      <w:spacing w:after="100"/>
    </w:pPr>
  </w:style>
  <w:style w:type="paragraph" w:styleId="Verzeichnis2">
    <w:name w:val="toc 2"/>
    <w:basedOn w:val="Standard"/>
    <w:next w:val="Standard"/>
    <w:autoRedefine/>
    <w:uiPriority w:val="39"/>
    <w:rsid w:val="00DD3F34"/>
    <w:pPr>
      <w:spacing w:after="100"/>
      <w:ind w:left="240"/>
    </w:pPr>
  </w:style>
  <w:style w:type="character" w:customStyle="1" w:styleId="berschrift2Zchn">
    <w:name w:val="Überschrift 2 Zchn"/>
    <w:basedOn w:val="Absatz-Standardschriftart"/>
    <w:link w:val="berschrift2"/>
    <w:uiPriority w:val="9"/>
    <w:rsid w:val="00DD3F34"/>
    <w:rPr>
      <w:rFonts w:asciiTheme="majorHAnsi" w:eastAsiaTheme="majorEastAsia" w:hAnsiTheme="majorHAnsi" w:cstheme="majorBidi"/>
      <w:b/>
      <w:bCs/>
      <w:color w:val="4F81BD" w:themeColor="accent1"/>
      <w:sz w:val="28"/>
      <w:szCs w:val="28"/>
    </w:rPr>
  </w:style>
  <w:style w:type="character" w:styleId="NichtaufgelsteErwhnung">
    <w:name w:val="Unresolved Mention"/>
    <w:basedOn w:val="Absatz-Standardschriftart"/>
    <w:uiPriority w:val="99"/>
    <w:semiHidden/>
    <w:unhideWhenUsed/>
    <w:rsid w:val="00135CCE"/>
    <w:rPr>
      <w:color w:val="605E5C"/>
      <w:shd w:val="clear" w:color="auto" w:fill="E1DFDD"/>
    </w:rPr>
  </w:style>
  <w:style w:type="character" w:styleId="HTMLCode">
    <w:name w:val="HTML Code"/>
    <w:basedOn w:val="Absatz-Standardschriftart"/>
    <w:uiPriority w:val="99"/>
    <w:unhideWhenUsed/>
    <w:rsid w:val="00135CCE"/>
    <w:rPr>
      <w:rFonts w:ascii="Courier New" w:eastAsia="Times New Roman" w:hAnsi="Courier New" w:cs="Courier New"/>
      <w:sz w:val="20"/>
      <w:szCs w:val="20"/>
    </w:rPr>
  </w:style>
  <w:style w:type="character" w:styleId="Fett">
    <w:name w:val="Strong"/>
    <w:basedOn w:val="Absatz-Standardschriftart"/>
    <w:uiPriority w:val="22"/>
    <w:qFormat/>
    <w:rsid w:val="00135CCE"/>
    <w:rPr>
      <w:b/>
      <w:bCs/>
    </w:rPr>
  </w:style>
  <w:style w:type="table" w:styleId="EinfacheTabelle1">
    <w:name w:val="Plain Table 1"/>
    <w:basedOn w:val="NormaleTabelle"/>
    <w:rsid w:val="00D60FA1"/>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berschrift3Zchn">
    <w:name w:val="Überschrift 3 Zchn"/>
    <w:basedOn w:val="Absatz-Standardschriftart"/>
    <w:link w:val="berschrift3"/>
    <w:uiPriority w:val="9"/>
    <w:rsid w:val="00521D4B"/>
    <w:rPr>
      <w:rFonts w:asciiTheme="majorHAnsi" w:eastAsiaTheme="majorEastAsia" w:hAnsiTheme="majorHAnsi" w:cstheme="majorBidi"/>
      <w:b/>
      <w:bCs/>
      <w:color w:val="4F81BD" w:themeColor="accent1"/>
    </w:rPr>
  </w:style>
  <w:style w:type="character" w:customStyle="1" w:styleId="TextkrperZchn">
    <w:name w:val="Textkörper Zchn"/>
    <w:basedOn w:val="Absatz-Standardschriftart"/>
    <w:link w:val="Textkrper"/>
    <w:rsid w:val="00521D4B"/>
  </w:style>
  <w:style w:type="table" w:styleId="Gitternetztabelle2">
    <w:name w:val="Grid Table 2"/>
    <w:basedOn w:val="NormaleTabelle"/>
    <w:rsid w:val="00A65A67"/>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1hell">
    <w:name w:val="Grid Table 1 Light"/>
    <w:basedOn w:val="NormaleTabelle"/>
    <w:rsid w:val="00A65A67"/>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1371</Words>
  <Characters>8643</Characters>
  <Application>Microsoft Office Word</Application>
  <DocSecurity>0</DocSecurity>
  <Lines>72</Lines>
  <Paragraphs>19</Paragraphs>
  <ScaleCrop>false</ScaleCrop>
  <HeadingPairs>
    <vt:vector size="2" baseType="variant">
      <vt:variant>
        <vt:lpstr>Titel</vt:lpstr>
      </vt:variant>
      <vt:variant>
        <vt:i4>1</vt:i4>
      </vt:variant>
    </vt:vector>
  </HeadingPairs>
  <TitlesOfParts>
    <vt:vector size="1" baseType="lpstr">
      <vt:lpstr>Annotationsrichtlinie Wortarten (POS): Goldstandard V1</vt:lpstr>
    </vt:vector>
  </TitlesOfParts>
  <Company/>
  <LinksUpToDate>false</LinksUpToDate>
  <CharactersWithSpaces>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Annotationsrichtlinie Wortarten (POS): Goldstandard V1</dc:title>
  <dc:creator>Timucin Cicek</dc:creator>
  <cp:keywords/>
  <cp:lastModifiedBy>Timucin Cicek</cp:lastModifiedBy>
  <cp:revision>42</cp:revision>
  <dcterms:created xsi:type="dcterms:W3CDTF">2026-07-28T14:50:00Z</dcterms:created>
  <dcterms:modified xsi:type="dcterms:W3CDTF">2026-07-28T16:36:00Z</dcterms:modified>
  <dc:language>de-DE</dc:language>
</cp:coreProperties>
</file>