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02E3C" w14:textId="4B38B501" w:rsidR="000E4C2E" w:rsidRDefault="00000000">
      <w:pPr>
        <w:pStyle w:val="Titel"/>
      </w:pPr>
      <w:r>
        <w:t>Anleitung Pronomen-Annotation: Goldstandard</w:t>
      </w:r>
    </w:p>
    <w:p w14:paraId="6401C3BE" w14:textId="2EC4D257" w:rsidR="000E4C2E" w:rsidRDefault="00000000" w:rsidP="000205ED">
      <w:pPr>
        <w:pStyle w:val="berschrift1"/>
      </w:pPr>
      <w:bookmarkStart w:id="0" w:name="X583d85b1b388c70409bed6fc6f1dc6510c569b2"/>
      <w:bookmarkStart w:id="1" w:name="worum-es-geht"/>
      <w:bookmarkStart w:id="2" w:name="_Toc236070226"/>
      <w:r>
        <w:t>1</w:t>
      </w:r>
      <w:r w:rsidR="0034063B">
        <w:t>.</w:t>
      </w:r>
      <w:r>
        <w:t xml:space="preserve"> Worum es geht</w:t>
      </w:r>
      <w:bookmarkEnd w:id="2"/>
    </w:p>
    <w:p w14:paraId="32BF3866" w14:textId="7D4D091E" w:rsidR="000E4C2E" w:rsidRDefault="00000000">
      <w:pPr>
        <w:pStyle w:val="FirstParagraph"/>
      </w:pPr>
      <w:r>
        <w:t xml:space="preserve">Für jedes Pronomen wird von Hand eingetragen, </w:t>
      </w:r>
      <w:r>
        <w:rPr>
          <w:b/>
          <w:bCs/>
        </w:rPr>
        <w:t>welche Figur gemeint ist</w:t>
      </w:r>
      <w:r>
        <w:t xml:space="preserve">. Damit wird später gemessen, wie gut </w:t>
      </w:r>
      <w:r w:rsidR="0006557D">
        <w:t>mein Modell</w:t>
      </w:r>
      <w:r>
        <w:t xml:space="preserve"> Pronomen durch den richtigen Figurennamen ersetz</w:t>
      </w:r>
      <w:r w:rsidR="0006557D">
        <w:t>en kann</w:t>
      </w:r>
      <w:r>
        <w:t>.</w:t>
      </w:r>
    </w:p>
    <w:p w14:paraId="59F81EEB" w14:textId="09737E66" w:rsidR="000E4C2E" w:rsidRDefault="0006557D" w:rsidP="000205ED">
      <w:pPr>
        <w:pStyle w:val="berschrift1"/>
      </w:pPr>
      <w:bookmarkStart w:id="3" w:name="wie-ausgefüllt-wird"/>
      <w:bookmarkStart w:id="4" w:name="_Toc236070227"/>
      <w:bookmarkEnd w:id="1"/>
      <w:r>
        <w:t>2</w:t>
      </w:r>
      <w:r w:rsidR="0034063B">
        <w:t>.</w:t>
      </w:r>
      <w:r w:rsidR="00000000">
        <w:t xml:space="preserve"> Wie ausgefüllt wird</w:t>
      </w:r>
      <w:bookmarkEnd w:id="4"/>
    </w:p>
    <w:p w14:paraId="1EC6F6EA" w14:textId="6C3820EF" w:rsidR="000E4C2E" w:rsidRDefault="00000000">
      <w:pPr>
        <w:pStyle w:val="FirstParagraph"/>
      </w:pPr>
      <w:r>
        <w:t xml:space="preserve">Bearbeitet werden </w:t>
      </w:r>
      <w:r>
        <w:rPr>
          <w:b/>
          <w:bCs/>
        </w:rPr>
        <w:t>ausschließlich</w:t>
      </w:r>
      <w:r>
        <w:t xml:space="preserve"> die zwei letzten</w:t>
      </w:r>
      <w:r w:rsidR="0006557D">
        <w:t xml:space="preserve"> (gelben)</w:t>
      </w:r>
      <w:r>
        <w:t xml:space="preserve"> Spalten: </w:t>
      </w:r>
      <w:proofErr w:type="spellStart"/>
      <w:r>
        <w:rPr>
          <w:rStyle w:val="VerbatimChar"/>
        </w:rPr>
        <w:t>referent_gold</w:t>
      </w:r>
      <w:proofErr w:type="spellEnd"/>
      <w:r>
        <w:t xml:space="preserve"> (Pflicht) und </w:t>
      </w:r>
      <w:r>
        <w:rPr>
          <w:rStyle w:val="VerbatimChar"/>
        </w:rPr>
        <w:t>kommentar</w:t>
      </w:r>
      <w:r>
        <w:t xml:space="preserve"> (optional). Alle anderen Spalten bleiben unangetastet.</w:t>
      </w:r>
    </w:p>
    <w:p w14:paraId="51FB24CE" w14:textId="77777777" w:rsidR="000E4C2E" w:rsidRDefault="00000000">
      <w:pPr>
        <w:pStyle w:val="Textkrper"/>
      </w:pPr>
      <w:r>
        <w:rPr>
          <w:b/>
          <w:bCs/>
        </w:rPr>
        <w:t>Welches Pronomen ist gemeint?</w:t>
      </w:r>
      <w:r>
        <w:t xml:space="preserve"> Die Spalte </w:t>
      </w:r>
      <w:r>
        <w:rPr>
          <w:rStyle w:val="VerbatimChar"/>
          <w:b/>
          <w:bCs/>
        </w:rPr>
        <w:t>satz_markiert</w:t>
      </w:r>
      <w:r>
        <w:t xml:space="preserve"> zeigt es: Das Zielpronomen ist mit </w:t>
      </w:r>
      <w:r w:rsidRPr="005B2570">
        <w:rPr>
          <w:rStyle w:val="VerbatimChar"/>
          <w:b/>
          <w:bCs/>
        </w:rPr>
        <w:t>**…**</w:t>
      </w:r>
      <w:r>
        <w:t xml:space="preserve"> hervorgehoben. Das ist wichtig, weil über die Hälfte der Sätze mehrere Pronomen enthält (bis zu sieben); es zählt immer nur das markierte.</w:t>
      </w:r>
    </w:p>
    <w:p w14:paraId="2ABFDCB6" w14:textId="77777777" w:rsidR="000E4C2E" w:rsidRDefault="00000000">
      <w:pPr>
        <w:pStyle w:val="Textkrper"/>
      </w:pPr>
      <w:r>
        <w:rPr>
          <w:b/>
          <w:bCs/>
        </w:rPr>
        <w:t xml:space="preserve">Was in </w:t>
      </w:r>
      <w:r>
        <w:rPr>
          <w:rStyle w:val="VerbatimChar"/>
          <w:b/>
          <w:bCs/>
        </w:rPr>
        <w:t>referent_gold</w:t>
      </w:r>
      <w:r>
        <w:rPr>
          <w:b/>
          <w:bCs/>
        </w:rPr>
        <w:t xml:space="preserve"> eingetragen wird:</w:t>
      </w:r>
    </w:p>
    <w:p w14:paraId="1D82FED9" w14:textId="5F1A401B" w:rsidR="000E4C2E" w:rsidRDefault="00000000">
      <w:pPr>
        <w:pStyle w:val="Textkrper"/>
      </w:pPr>
      <w:r>
        <w:rPr>
          <w:b/>
          <w:bCs/>
        </w:rPr>
        <w:t>Zwei Kontextspalten stehen zur Verfügung.</w:t>
      </w:r>
      <w:r>
        <w:t xml:space="preserve"> </w:t>
      </w:r>
      <w:r>
        <w:rPr>
          <w:rStyle w:val="VerbatimChar"/>
        </w:rPr>
        <w:t>satz_markiert</w:t>
      </w:r>
      <w:r>
        <w:t xml:space="preserve"> zeigt den Satz mit dem hervorgehobenen Pronomen, </w:t>
      </w:r>
      <w:r>
        <w:rPr>
          <w:rStyle w:val="VerbatimChar"/>
        </w:rPr>
        <w:t>block_markiert</w:t>
      </w:r>
      <w:r>
        <w:t xml:space="preserve"> zusätzlich die drei bis vier zusammenhängenden Sätze, aus denen der Satz stammt. Weil Pronomen meist zurückverweisen, enthält der Einzelsatz den Bezug häufig nicht: Bei rund 29 Prozent der Einheiten steht davor kein möglicher Bezug im Satz, im Blockkontext sind es nur noch 10 Prozent. Bleibt auch dort unklar, worauf sich das Pronomen bezieht, hilft nur das Nachlesen im </w:t>
      </w:r>
      <w:r w:rsidR="0006557D">
        <w:t xml:space="preserve">jeweiligen </w:t>
      </w:r>
      <w:r>
        <w:t xml:space="preserve">Märchen; die Spalte </w:t>
      </w:r>
      <w:proofErr w:type="spellStart"/>
      <w:r w:rsidRPr="0006557D">
        <w:rPr>
          <w:rStyle w:val="VerbatimChar"/>
          <w:b/>
          <w:bCs/>
        </w:rPr>
        <w:t>erzaehlung</w:t>
      </w:r>
      <w:proofErr w:type="spellEnd"/>
      <w:r>
        <w:t xml:space="preserve"> nennt die Datei</w:t>
      </w:r>
      <w:r w:rsidR="0006557D">
        <w:t>, in der du nachschlagen kannst</w:t>
      </w:r>
      <w:r>
        <w:t>.</w:t>
      </w:r>
    </w:p>
    <w:p w14:paraId="45777E4F" w14:textId="538927B7" w:rsidR="000E4C2E" w:rsidRDefault="00000000">
      <w:pPr>
        <w:pStyle w:val="Textkrper"/>
      </w:pPr>
      <w:r>
        <w:t xml:space="preserve">Wichtig vorab: Die Zeilen sind </w:t>
      </w:r>
      <w:r>
        <w:rPr>
          <w:b/>
          <w:bCs/>
        </w:rPr>
        <w:t>maschinell vorausgewählte Kandidaten</w:t>
      </w:r>
      <w:r>
        <w:t>, keine gesicherten Pronomen. Die</w:t>
      </w:r>
      <w:r w:rsidR="0006557D">
        <w:t xml:space="preserve"> vorherige</w:t>
      </w:r>
      <w:r>
        <w:t xml:space="preserve"> Extraktion sammelt</w:t>
      </w:r>
      <w:r w:rsidR="0006557D">
        <w:t>e</w:t>
      </w:r>
      <w:r>
        <w:t xml:space="preserve"> großzügig alles ein, was nach einem Pronomen aussieht, darunter zwangsläufig auch Wörter, die gar keine Figur bezeichnen. Erwarte deshalb </w:t>
      </w:r>
      <w:r>
        <w:rPr>
          <w:b/>
          <w:bCs/>
        </w:rPr>
        <w:t>nicht</w:t>
      </w:r>
      <w:r>
        <w:t xml:space="preserve">, dass jede Zeile einen Figurennamen bekommt. Prüfe bei jeder Zeile zuerst: Verweist das markierte Wort überhaupt auf eine handelnde Person? Erst wenn ja, wird ein Figurenname eingetragen; andernfalls einer der Sonderwerte. Ein typischer Fall ist „dasselbe” im Sinne von „das Gleiche”: grammatisch ein Pronomen, aber es meint eine Aussage, keine Figur, also </w:t>
      </w:r>
      <w:r w:rsidRPr="0006557D">
        <w:rPr>
          <w:rStyle w:val="VerbatimChar"/>
          <w:b/>
          <w:bCs/>
        </w:rPr>
        <w:t>keine_figur</w:t>
      </w:r>
      <w: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677"/>
        <w:gridCol w:w="2978"/>
        <w:gridCol w:w="2967"/>
      </w:tblGrid>
      <w:tr w:rsidR="000E4C2E" w14:paraId="44143632" w14:textId="77777777" w:rsidTr="0006557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4356E60" w14:textId="77777777" w:rsidR="000E4C2E" w:rsidRDefault="00000000">
            <w:pPr>
              <w:pStyle w:val="Compact"/>
            </w:pPr>
            <w:r>
              <w:t>Fall</w:t>
            </w:r>
          </w:p>
        </w:tc>
        <w:tc>
          <w:tcPr>
            <w:tcW w:w="0" w:type="auto"/>
            <w:tcBorders>
              <w:bottom w:val="none" w:sz="0" w:space="0" w:color="auto"/>
            </w:tcBorders>
          </w:tcPr>
          <w:p w14:paraId="60D80BE6" w14:textId="77777777" w:rsidR="000E4C2E" w:rsidRDefault="00000000">
            <w:pPr>
              <w:pStyle w:val="Compact"/>
            </w:pPr>
            <w:r>
              <w:t>Eintrag</w:t>
            </w:r>
          </w:p>
        </w:tc>
        <w:tc>
          <w:tcPr>
            <w:tcW w:w="0" w:type="auto"/>
            <w:tcBorders>
              <w:bottom w:val="none" w:sz="0" w:space="0" w:color="auto"/>
            </w:tcBorders>
          </w:tcPr>
          <w:p w14:paraId="5B4D6B24" w14:textId="77777777" w:rsidR="000E4C2E" w:rsidRDefault="00000000">
            <w:pPr>
              <w:pStyle w:val="Compact"/>
            </w:pPr>
            <w:r>
              <w:t>Beispiel</w:t>
            </w:r>
          </w:p>
        </w:tc>
      </w:tr>
      <w:tr w:rsidR="000E4C2E" w14:paraId="6B3ADC1B" w14:textId="77777777" w:rsidTr="0006557D">
        <w:tc>
          <w:tcPr>
            <w:tcW w:w="0" w:type="auto"/>
          </w:tcPr>
          <w:p w14:paraId="566FE824" w14:textId="77777777" w:rsidR="000E4C2E" w:rsidRDefault="00000000">
            <w:pPr>
              <w:pStyle w:val="Compact"/>
            </w:pPr>
            <w:r>
              <w:t>Pronomen meint eine Figur</w:t>
            </w:r>
          </w:p>
        </w:tc>
        <w:tc>
          <w:tcPr>
            <w:tcW w:w="0" w:type="auto"/>
          </w:tcPr>
          <w:p w14:paraId="1E298DF6" w14:textId="77777777" w:rsidR="000E4C2E" w:rsidRDefault="00000000">
            <w:pPr>
              <w:pStyle w:val="Compact"/>
            </w:pPr>
            <w:r>
              <w:rPr>
                <w:b/>
                <w:bCs/>
              </w:rPr>
              <w:t>Figurenname, wie er im Märchen genannt wird</w:t>
            </w:r>
          </w:p>
        </w:tc>
        <w:tc>
          <w:tcPr>
            <w:tcW w:w="0" w:type="auto"/>
          </w:tcPr>
          <w:p w14:paraId="3B37EAE3" w14:textId="77777777" w:rsidR="000E4C2E" w:rsidRDefault="00000000">
            <w:pPr>
              <w:pStyle w:val="Compact"/>
            </w:pPr>
            <w:r>
              <w:t>„</w:t>
            </w:r>
            <w:r>
              <w:rPr>
                <w:b/>
                <w:bCs/>
              </w:rPr>
              <w:t>er</w:t>
            </w:r>
            <w:r>
              <w:t xml:space="preserve"> sprang auf” → </w:t>
            </w:r>
            <w:r>
              <w:rPr>
                <w:rStyle w:val="VerbatimChar"/>
              </w:rPr>
              <w:t>Aladdin</w:t>
            </w:r>
            <w:r>
              <w:t>; „</w:t>
            </w:r>
            <w:r>
              <w:rPr>
                <w:b/>
                <w:bCs/>
              </w:rPr>
              <w:t>sie</w:t>
            </w:r>
            <w:r>
              <w:t xml:space="preserve"> lachte” → </w:t>
            </w:r>
            <w:r>
              <w:rPr>
                <w:rStyle w:val="VerbatimChar"/>
              </w:rPr>
              <w:t>Stiefmutter</w:t>
            </w:r>
          </w:p>
        </w:tc>
      </w:tr>
      <w:tr w:rsidR="000E4C2E" w14:paraId="45C2877F" w14:textId="77777777" w:rsidTr="0006557D">
        <w:tc>
          <w:tcPr>
            <w:tcW w:w="0" w:type="auto"/>
          </w:tcPr>
          <w:p w14:paraId="4C1AE940" w14:textId="77777777" w:rsidR="000E4C2E" w:rsidRDefault="00000000">
            <w:pPr>
              <w:pStyle w:val="Compact"/>
            </w:pPr>
            <w:r>
              <w:t>Pronomen meint eine Gruppe</w:t>
            </w:r>
          </w:p>
        </w:tc>
        <w:tc>
          <w:tcPr>
            <w:tcW w:w="0" w:type="auto"/>
          </w:tcPr>
          <w:p w14:paraId="3F731664" w14:textId="77777777" w:rsidR="000E4C2E" w:rsidRDefault="00000000">
            <w:pPr>
              <w:pStyle w:val="Compact"/>
            </w:pPr>
            <w:r>
              <w:t>Gruppenname</w:t>
            </w:r>
          </w:p>
        </w:tc>
        <w:tc>
          <w:tcPr>
            <w:tcW w:w="0" w:type="auto"/>
          </w:tcPr>
          <w:p w14:paraId="3D2EC183" w14:textId="77777777" w:rsidR="000E4C2E" w:rsidRDefault="00000000">
            <w:pPr>
              <w:pStyle w:val="Compact"/>
            </w:pPr>
            <w:r>
              <w:t>„</w:t>
            </w:r>
            <w:r>
              <w:rPr>
                <w:b/>
                <w:bCs/>
              </w:rPr>
              <w:t>sie</w:t>
            </w:r>
            <w:r>
              <w:t xml:space="preserve"> einigten sich” → </w:t>
            </w:r>
            <w:r>
              <w:rPr>
                <w:rStyle w:val="VerbatimChar"/>
              </w:rPr>
              <w:t>Brüder</w:t>
            </w:r>
          </w:p>
        </w:tc>
      </w:tr>
      <w:tr w:rsidR="000E4C2E" w14:paraId="1A48E11D" w14:textId="77777777" w:rsidTr="0006557D">
        <w:tc>
          <w:tcPr>
            <w:tcW w:w="0" w:type="auto"/>
          </w:tcPr>
          <w:p w14:paraId="52D4E2DC" w14:textId="77777777" w:rsidR="000E4C2E" w:rsidRDefault="00000000">
            <w:pPr>
              <w:pStyle w:val="Compact"/>
            </w:pPr>
            <w:r>
              <w:t xml:space="preserve">Nicht-referentielles </w:t>
            </w:r>
            <w:r>
              <w:rPr>
                <w:i/>
                <w:iCs/>
              </w:rPr>
              <w:t>es</w:t>
            </w:r>
          </w:p>
        </w:tc>
        <w:tc>
          <w:tcPr>
            <w:tcW w:w="0" w:type="auto"/>
          </w:tcPr>
          <w:p w14:paraId="4C0FF5F3" w14:textId="77777777" w:rsidR="000E4C2E" w:rsidRDefault="00000000">
            <w:pPr>
              <w:pStyle w:val="Compact"/>
            </w:pPr>
            <w:r>
              <w:rPr>
                <w:rStyle w:val="VerbatimChar"/>
              </w:rPr>
              <w:t>expletiv</w:t>
            </w:r>
          </w:p>
        </w:tc>
        <w:tc>
          <w:tcPr>
            <w:tcW w:w="0" w:type="auto"/>
          </w:tcPr>
          <w:p w14:paraId="1B5B57ED" w14:textId="77777777" w:rsidR="000E4C2E" w:rsidRDefault="00000000">
            <w:pPr>
              <w:pStyle w:val="Compact"/>
            </w:pPr>
            <w:r>
              <w:t>„</w:t>
            </w:r>
            <w:r>
              <w:rPr>
                <w:b/>
                <w:bCs/>
              </w:rPr>
              <w:t>es</w:t>
            </w:r>
            <w:r>
              <w:t xml:space="preserve"> zerrte und zupfte”</w:t>
            </w:r>
          </w:p>
        </w:tc>
      </w:tr>
      <w:tr w:rsidR="000E4C2E" w14:paraId="4C47732A" w14:textId="77777777" w:rsidTr="0006557D">
        <w:tc>
          <w:tcPr>
            <w:tcW w:w="0" w:type="auto"/>
          </w:tcPr>
          <w:p w14:paraId="78F0C9FB" w14:textId="77777777" w:rsidR="000E4C2E" w:rsidRDefault="00000000">
            <w:pPr>
              <w:pStyle w:val="Compact"/>
            </w:pPr>
            <w:r>
              <w:lastRenderedPageBreak/>
              <w:t>Referent ist Ding/Abstraktum/Aussage</w:t>
            </w:r>
          </w:p>
        </w:tc>
        <w:tc>
          <w:tcPr>
            <w:tcW w:w="0" w:type="auto"/>
          </w:tcPr>
          <w:p w14:paraId="4881A815" w14:textId="77777777" w:rsidR="000E4C2E" w:rsidRDefault="00000000">
            <w:pPr>
              <w:pStyle w:val="Compact"/>
            </w:pPr>
            <w:r>
              <w:rPr>
                <w:rStyle w:val="VerbatimChar"/>
              </w:rPr>
              <w:t>keine_figur</w:t>
            </w:r>
          </w:p>
        </w:tc>
        <w:tc>
          <w:tcPr>
            <w:tcW w:w="0" w:type="auto"/>
          </w:tcPr>
          <w:p w14:paraId="3119F7E2" w14:textId="77777777" w:rsidR="000E4C2E" w:rsidRDefault="00000000">
            <w:pPr>
              <w:pStyle w:val="Compact"/>
            </w:pPr>
            <w:r>
              <w:t xml:space="preserve">„Was ist </w:t>
            </w:r>
            <w:r>
              <w:rPr>
                <w:b/>
                <w:bCs/>
              </w:rPr>
              <w:t>das</w:t>
            </w:r>
            <w:r>
              <w:t xml:space="preserve"> nur?” (das Geräusch); „er sagte </w:t>
            </w:r>
            <w:r>
              <w:rPr>
                <w:b/>
                <w:bCs/>
              </w:rPr>
              <w:t>dasselbe</w:t>
            </w:r>
            <w:r>
              <w:t>”</w:t>
            </w:r>
          </w:p>
        </w:tc>
      </w:tr>
      <w:tr w:rsidR="000E4C2E" w14:paraId="286AA28F" w14:textId="77777777" w:rsidTr="0006557D">
        <w:tc>
          <w:tcPr>
            <w:tcW w:w="0" w:type="auto"/>
          </w:tcPr>
          <w:p w14:paraId="6C19F8D5" w14:textId="77777777" w:rsidR="000E4C2E" w:rsidRDefault="00000000">
            <w:pPr>
              <w:pStyle w:val="Compact"/>
            </w:pPr>
            <w:r>
              <w:t>Nicht entscheidbar</w:t>
            </w:r>
          </w:p>
        </w:tc>
        <w:tc>
          <w:tcPr>
            <w:tcW w:w="0" w:type="auto"/>
          </w:tcPr>
          <w:p w14:paraId="3B6BF6C5" w14:textId="77777777" w:rsidR="000E4C2E" w:rsidRDefault="00000000">
            <w:pPr>
              <w:pStyle w:val="Compact"/>
            </w:pPr>
            <w:r>
              <w:rPr>
                <w:rStyle w:val="VerbatimChar"/>
              </w:rPr>
              <w:t>unklar</w:t>
            </w:r>
          </w:p>
        </w:tc>
        <w:tc>
          <w:tcPr>
            <w:tcW w:w="0" w:type="auto"/>
          </w:tcPr>
          <w:p w14:paraId="37E6B2EB" w14:textId="77777777" w:rsidR="000E4C2E" w:rsidRDefault="00000000">
            <w:pPr>
              <w:pStyle w:val="Compact"/>
            </w:pPr>
            <w:r>
              <w:t xml:space="preserve">+ kurze Begründung in </w:t>
            </w:r>
            <w:r>
              <w:rPr>
                <w:rStyle w:val="VerbatimChar"/>
              </w:rPr>
              <w:t>kommentar</w:t>
            </w:r>
          </w:p>
        </w:tc>
      </w:tr>
      <w:tr w:rsidR="000E4C2E" w14:paraId="1DD51763" w14:textId="77777777" w:rsidTr="0006557D">
        <w:tc>
          <w:tcPr>
            <w:tcW w:w="0" w:type="auto"/>
          </w:tcPr>
          <w:p w14:paraId="1DEB22D7" w14:textId="77777777" w:rsidR="000E4C2E" w:rsidRDefault="00000000">
            <w:pPr>
              <w:pStyle w:val="Compact"/>
            </w:pPr>
            <w:r>
              <w:t>Zeile ist gar kein Pronomen (Extraktionsfehler)</w:t>
            </w:r>
          </w:p>
        </w:tc>
        <w:tc>
          <w:tcPr>
            <w:tcW w:w="0" w:type="auto"/>
          </w:tcPr>
          <w:p w14:paraId="60A4523E" w14:textId="77777777" w:rsidR="000E4C2E" w:rsidRDefault="00000000">
            <w:pPr>
              <w:pStyle w:val="Compact"/>
            </w:pPr>
            <w:r>
              <w:rPr>
                <w:rStyle w:val="VerbatimChar"/>
              </w:rPr>
              <w:t>kein_pronomen</w:t>
            </w:r>
          </w:p>
        </w:tc>
        <w:tc>
          <w:tcPr>
            <w:tcW w:w="0" w:type="auto"/>
          </w:tcPr>
          <w:p w14:paraId="1AF400F2" w14:textId="77777777" w:rsidR="000E4C2E" w:rsidRDefault="00000000">
            <w:pPr>
              <w:pStyle w:val="Compact"/>
            </w:pPr>
            <w:r>
              <w:t>z. B. falls „die” doch Artikel ist</w:t>
            </w:r>
          </w:p>
        </w:tc>
      </w:tr>
    </w:tbl>
    <w:p w14:paraId="12EEF1C8" w14:textId="7D04980E" w:rsidR="000E4C2E" w:rsidRDefault="00000000">
      <w:pPr>
        <w:pStyle w:val="Textkrper"/>
      </w:pPr>
      <w:r>
        <w:t xml:space="preserve">Regeln zum Figurennamen: die im Märchen übliche </w:t>
      </w:r>
      <w:r>
        <w:rPr>
          <w:b/>
          <w:bCs/>
        </w:rPr>
        <w:t>Nennform</w:t>
      </w:r>
      <w:r>
        <w:t xml:space="preserve"> verwenden (nicht flektiert: </w:t>
      </w:r>
      <w:r w:rsidR="0006557D">
        <w:t>also „</w:t>
      </w:r>
      <w:r>
        <w:rPr>
          <w:rStyle w:val="VerbatimChar"/>
        </w:rPr>
        <w:t>König</w:t>
      </w:r>
      <w:r w:rsidR="0006557D">
        <w:rPr>
          <w:rStyle w:val="VerbatimChar"/>
        </w:rPr>
        <w:t>“</w:t>
      </w:r>
      <w:r>
        <w:t xml:space="preserve">, </w:t>
      </w:r>
      <w:r w:rsidR="0006557D">
        <w:t>anstatt</w:t>
      </w:r>
      <w:r>
        <w:t xml:space="preserve"> „Königs”), konsistent innerhalb einer Erzählung; bei mehreren gleichbenannten Figuren (zwei „Mädchen”) unterscheidend ergänzen (</w:t>
      </w:r>
      <w:r>
        <w:rPr>
          <w:rStyle w:val="VerbatimChar"/>
        </w:rPr>
        <w:t>Mädchen (jüngere)</w:t>
      </w:r>
      <w:r>
        <w:t xml:space="preserve">) und den Fall in </w:t>
      </w:r>
      <w:r>
        <w:rPr>
          <w:rStyle w:val="VerbatimChar"/>
        </w:rPr>
        <w:t>kommentar</w:t>
      </w:r>
      <w:r>
        <w:t xml:space="preserve"> notieren.</w:t>
      </w:r>
    </w:p>
    <w:p w14:paraId="73BE3DB3" w14:textId="7207FA01" w:rsidR="000E4C2E" w:rsidRDefault="00000000">
      <w:pPr>
        <w:pStyle w:val="Textkrper"/>
      </w:pPr>
      <w:r>
        <w:rPr>
          <w:b/>
          <w:bCs/>
        </w:rPr>
        <w:t>Kontext nutzen, ausdrücklich erwünscht:</w:t>
      </w:r>
      <w:r>
        <w:t xml:space="preserve"> Zum Auflösen darf das </w:t>
      </w:r>
      <w:r>
        <w:rPr>
          <w:b/>
          <w:bCs/>
        </w:rPr>
        <w:t>ganze Märchen</w:t>
      </w:r>
      <w:r>
        <w:t xml:space="preserve"> gelesen werden. Das ist kein Schummeln: Das System sieht im Einsatz ebenfalls den Volltext.</w:t>
      </w:r>
    </w:p>
    <w:p w14:paraId="6451F722" w14:textId="63853C9F" w:rsidR="000E4C2E" w:rsidRDefault="0006557D" w:rsidP="000205ED">
      <w:pPr>
        <w:pStyle w:val="berschrift1"/>
      </w:pPr>
      <w:bookmarkStart w:id="5" w:name="X88c6c151bb6b84f57948deee52bede583b56b3a"/>
      <w:bookmarkStart w:id="6" w:name="_Toc236070228"/>
      <w:bookmarkEnd w:id="3"/>
      <w:r>
        <w:t>3</w:t>
      </w:r>
      <w:r w:rsidR="0034063B">
        <w:t>.</w:t>
      </w:r>
      <w:r w:rsidR="00000000">
        <w:t xml:space="preserve"> Technische Spielregeln (wichtig, sonst ist die Datei unauswertbar)</w:t>
      </w:r>
      <w:bookmarkEnd w:id="6"/>
    </w:p>
    <w:p w14:paraId="3782BDFA" w14:textId="364359C5" w:rsidR="000E4C2E" w:rsidRDefault="00000000">
      <w:pPr>
        <w:pStyle w:val="FirstParagraph"/>
      </w:pPr>
      <w:r>
        <w:rPr>
          <w:b/>
          <w:bCs/>
        </w:rPr>
        <w:t>Grundregel: Die Einträge entstehen von Hand.</w:t>
      </w:r>
      <w:r>
        <w:t xml:space="preserve"> Sprachmodelle, Übersetzungs- oder Auswertungswerkzeuge dürfen zum Ausfüllen von </w:t>
      </w:r>
      <w:r>
        <w:rPr>
          <w:rStyle w:val="VerbatimChar"/>
        </w:rPr>
        <w:t>referent_gold</w:t>
      </w:r>
      <w:r>
        <w:t xml:space="preserve"> nicht herangezogen werden, auch nicht teilweise und auch nicht „nur zur Vorbereitung”. Der Grund ist kein Misstrauen, sondern der Zweck der Erhebung: Diese Daten dienen als Maßstab, an dem </w:t>
      </w:r>
      <w:r w:rsidR="003A7B25">
        <w:t>ein Sprachmodell</w:t>
      </w:r>
      <w:r>
        <w:t xml:space="preserve"> gemessen wird. Stammen die Referenzen selbst aus einem </w:t>
      </w:r>
      <w:r w:rsidR="003A7B25">
        <w:t>Sprachm</w:t>
      </w:r>
      <w:r>
        <w:t xml:space="preserve">odell, wird Maschine gegen Maschine geprüft, das Ergebnis ist zirkulär und der Aufwand aller Beteiligten </w:t>
      </w:r>
      <w:r w:rsidR="003A7B25">
        <w:t xml:space="preserve">war </w:t>
      </w:r>
      <w:r>
        <w:t>vergeben</w:t>
      </w:r>
      <w:r w:rsidR="003A7B25">
        <w:t>s</w:t>
      </w:r>
      <w:r>
        <w:t xml:space="preserve">. </w:t>
      </w:r>
    </w:p>
    <w:p w14:paraId="2DBEE581" w14:textId="344CDBBD" w:rsidR="000E4C2E" w:rsidRDefault="00000000">
      <w:pPr>
        <w:pStyle w:val="Textkrper"/>
      </w:pPr>
      <w:r>
        <w:t>Unsicherheit ist ausdrücklich erlaubt und erwünscht. We</w:t>
      </w:r>
      <w:r w:rsidR="003A7B25">
        <w:t>nn du</w:t>
      </w:r>
      <w:r>
        <w:t xml:space="preserve"> bei einer Einheit nicht weiterkomm</w:t>
      </w:r>
      <w:r w:rsidR="003A7B25">
        <w:t>s</w:t>
      </w:r>
      <w:r>
        <w:t>t, tr</w:t>
      </w:r>
      <w:r w:rsidR="003A7B25">
        <w:t>ag</w:t>
      </w:r>
      <w:r>
        <w:t xml:space="preserve"> </w:t>
      </w:r>
      <w:r w:rsidRPr="003A7B25">
        <w:rPr>
          <w:rStyle w:val="VerbatimChar"/>
          <w:b/>
          <w:bCs/>
        </w:rPr>
        <w:t>unklar</w:t>
      </w:r>
      <w:r>
        <w:t xml:space="preserve"> ein und schreib die Frage in die Spalte </w:t>
      </w:r>
      <w:r w:rsidRPr="003A7B25">
        <w:rPr>
          <w:rStyle w:val="VerbatimChar"/>
          <w:b/>
          <w:bCs/>
        </w:rPr>
        <w:t>kommentar</w:t>
      </w:r>
      <w:r>
        <w:t xml:space="preserve"> derselben Zeile. Eine ehrliche Lücke ist für das Projekt wertvoll, eine geratene oder maschinell erzeugte Antwort schädlich.</w:t>
      </w:r>
    </w:p>
    <w:p w14:paraId="0F775CDC" w14:textId="6F492109" w:rsidR="000E4C2E" w:rsidRDefault="0034063B" w:rsidP="0034063B">
      <w:pPr>
        <w:pStyle w:val="berschrift1"/>
      </w:pPr>
      <w:bookmarkStart w:id="7" w:name="_Toc236070229"/>
      <w:r>
        <w:t xml:space="preserve">4. </w:t>
      </w:r>
      <w:r w:rsidR="00446063">
        <w:t>Bitte beachte</w:t>
      </w:r>
      <w:r w:rsidR="00000000">
        <w:t>:</w:t>
      </w:r>
      <w:bookmarkEnd w:id="7"/>
    </w:p>
    <w:p w14:paraId="713212F9" w14:textId="77777777" w:rsidR="000E4C2E" w:rsidRDefault="00000000">
      <w:pPr>
        <w:pStyle w:val="Compact"/>
        <w:numPr>
          <w:ilvl w:val="0"/>
          <w:numId w:val="2"/>
        </w:numPr>
      </w:pPr>
      <w:r>
        <w:rPr>
          <w:b/>
          <w:bCs/>
        </w:rPr>
        <w:t>In Excel arbeiten, gelbe Spalten ausfüllen.</w:t>
      </w:r>
      <w:r>
        <w:t xml:space="preserve"> Nur </w:t>
      </w:r>
      <w:r>
        <w:rPr>
          <w:rStyle w:val="VerbatimChar"/>
        </w:rPr>
        <w:t>referent_gold</w:t>
      </w:r>
      <w:r>
        <w:t xml:space="preserve"> (Dropdown oder Freitext) und </w:t>
      </w:r>
      <w:r>
        <w:rPr>
          <w:rStyle w:val="VerbatimChar"/>
        </w:rPr>
        <w:t>kommentar</w:t>
      </w:r>
      <w:r>
        <w:t xml:space="preserve"> sind editierbar; der Rest ist schreibgeschützt. </w:t>
      </w:r>
      <w:r>
        <w:rPr>
          <w:b/>
          <w:bCs/>
        </w:rPr>
        <w:t>Den Blattschutz nicht aufheben</w:t>
      </w:r>
      <w:r>
        <w:t>; er verhindert nur versehentliches Verrutschen von Sätzen und IDs.</w:t>
      </w:r>
    </w:p>
    <w:p w14:paraId="290EDD5C" w14:textId="7AB07D2C" w:rsidR="000E4C2E" w:rsidRDefault="00000000">
      <w:pPr>
        <w:pStyle w:val="Compact"/>
        <w:numPr>
          <w:ilvl w:val="0"/>
          <w:numId w:val="2"/>
        </w:numPr>
      </w:pPr>
      <w:r>
        <w:rPr>
          <w:b/>
          <w:bCs/>
        </w:rPr>
        <w:t xml:space="preserve">Als </w:t>
      </w:r>
      <w:r>
        <w:rPr>
          <w:rStyle w:val="VerbatimChar"/>
          <w:b/>
          <w:bCs/>
        </w:rPr>
        <w:t>.xlsx</w:t>
      </w:r>
      <w:r>
        <w:rPr>
          <w:b/>
          <w:bCs/>
        </w:rPr>
        <w:t xml:space="preserve"> speichern</w:t>
      </w:r>
      <w:r>
        <w:t xml:space="preserve"> </w:t>
      </w:r>
    </w:p>
    <w:p w14:paraId="3A4ED27C" w14:textId="345C03B9" w:rsidR="000E4C2E" w:rsidRDefault="00000000">
      <w:pPr>
        <w:pStyle w:val="Compact"/>
        <w:numPr>
          <w:ilvl w:val="0"/>
          <w:numId w:val="2"/>
        </w:numPr>
      </w:pPr>
      <w:r>
        <w:rPr>
          <w:b/>
          <w:bCs/>
        </w:rPr>
        <w:t>Keine Zeilen löschen, sortieren oder einfügen</w:t>
      </w:r>
      <w:r w:rsidR="00446063">
        <w:rPr>
          <w:b/>
          <w:bCs/>
        </w:rPr>
        <w:t xml:space="preserve">. </w:t>
      </w:r>
      <w:r>
        <w:t>Filtern ist erlaubt</w:t>
      </w:r>
      <w:r w:rsidR="00446063">
        <w:t>, falls nötig.</w:t>
      </w:r>
    </w:p>
    <w:p w14:paraId="7CEDC47F" w14:textId="49079178" w:rsidR="000E4C2E" w:rsidRDefault="00000000">
      <w:pPr>
        <w:pStyle w:val="Compact"/>
        <w:numPr>
          <w:ilvl w:val="0"/>
          <w:numId w:val="2"/>
        </w:numPr>
      </w:pPr>
      <w:r>
        <w:rPr>
          <w:rStyle w:val="VerbatimChar"/>
          <w:b/>
          <w:bCs/>
        </w:rPr>
        <w:t>satz</w:t>
      </w:r>
      <w:r>
        <w:rPr>
          <w:b/>
          <w:bCs/>
        </w:rPr>
        <w:t>/</w:t>
      </w:r>
      <w:r>
        <w:rPr>
          <w:rStyle w:val="VerbatimChar"/>
          <w:b/>
          <w:bCs/>
        </w:rPr>
        <w:t>satz_markiert</w:t>
      </w:r>
      <w:r>
        <w:rPr>
          <w:b/>
          <w:bCs/>
        </w:rPr>
        <w:t xml:space="preserve"> nicht „korrigieren”</w:t>
      </w:r>
      <w:r>
        <w:t xml:space="preserve">, auch wenn die Tokenisierung ungewohnt aussieht (Leerzeichen vor Satzzeichen sind Absicht). </w:t>
      </w:r>
    </w:p>
    <w:p w14:paraId="48983A17" w14:textId="42648A73" w:rsidR="000E4C2E" w:rsidRDefault="00000000">
      <w:pPr>
        <w:pStyle w:val="Compact"/>
        <w:numPr>
          <w:ilvl w:val="0"/>
          <w:numId w:val="2"/>
        </w:numPr>
      </w:pPr>
      <w:r>
        <w:t xml:space="preserve">Zweifelsfälle mit </w:t>
      </w:r>
      <w:r>
        <w:rPr>
          <w:b/>
          <w:bCs/>
        </w:rPr>
        <w:t>Regelcharakter</w:t>
      </w:r>
      <w:r>
        <w:t xml:space="preserve"> in die Spalte </w:t>
      </w:r>
      <w:r w:rsidRPr="00446063">
        <w:rPr>
          <w:rStyle w:val="VerbatimChar"/>
          <w:b/>
          <w:bCs/>
        </w:rPr>
        <w:t>kommentar</w:t>
      </w:r>
      <w:r>
        <w:t xml:space="preserve"> derselben Zeile schreiben. </w:t>
      </w:r>
      <w:bookmarkEnd w:id="0"/>
      <w:bookmarkEnd w:id="5"/>
    </w:p>
    <w:sectPr w:rsidR="000E4C2E">
      <w:pgSz w:w="12240" w:h="15840"/>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87CB2" w14:textId="77777777" w:rsidR="00D762EF" w:rsidRDefault="00D762EF">
      <w:pPr>
        <w:spacing w:after="0"/>
      </w:pPr>
      <w:r>
        <w:separator/>
      </w:r>
    </w:p>
  </w:endnote>
  <w:endnote w:type="continuationSeparator" w:id="0">
    <w:p w14:paraId="60B5834D" w14:textId="77777777" w:rsidR="00D762EF" w:rsidRDefault="00D762E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006D7" w14:textId="77777777" w:rsidR="00D762EF" w:rsidRDefault="00D762EF">
      <w:r>
        <w:separator/>
      </w:r>
    </w:p>
  </w:footnote>
  <w:footnote w:type="continuationSeparator" w:id="0">
    <w:p w14:paraId="39E3D655" w14:textId="77777777" w:rsidR="00D762EF" w:rsidRDefault="00D762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6EE133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B5840AA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665472671">
    <w:abstractNumId w:val="0"/>
  </w:num>
  <w:num w:numId="2" w16cid:durableId="16647007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564658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E4C2E"/>
    <w:rsid w:val="000205ED"/>
    <w:rsid w:val="0006557D"/>
    <w:rsid w:val="000E4C2E"/>
    <w:rsid w:val="0034063B"/>
    <w:rsid w:val="003A7B25"/>
    <w:rsid w:val="00446063"/>
    <w:rsid w:val="005B2570"/>
    <w:rsid w:val="006E53B4"/>
    <w:rsid w:val="00800861"/>
    <w:rsid w:val="00AF36D8"/>
    <w:rsid w:val="00D762EF"/>
    <w:rsid w:val="00EF5B2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34D63"/>
  <w15:docId w15:val="{6E257B90-D9E0-43E8-A022-B0D4794EB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uiPriority w:val="99"/>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Verzeichnis1">
    <w:name w:val="toc 1"/>
    <w:basedOn w:val="Standard"/>
    <w:next w:val="Standard"/>
    <w:autoRedefine/>
    <w:uiPriority w:val="39"/>
    <w:rsid w:val="000205ED"/>
    <w:pPr>
      <w:spacing w:after="100"/>
    </w:pPr>
  </w:style>
  <w:style w:type="paragraph" w:styleId="Verzeichnis2">
    <w:name w:val="toc 2"/>
    <w:basedOn w:val="Standard"/>
    <w:next w:val="Standard"/>
    <w:autoRedefine/>
    <w:uiPriority w:val="39"/>
    <w:rsid w:val="000205E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600</Words>
  <Characters>3785</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Anleitung Pronomen-Annotation: Goldstandard V1</vt:lpstr>
    </vt:vector>
  </TitlesOfParts>
  <Company/>
  <LinksUpToDate>false</LinksUpToDate>
  <CharactersWithSpaces>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Anleitung Pronomen-Annotation: Goldstandard V1</dc:title>
  <dc:creator/>
  <cp:keywords/>
  <cp:lastModifiedBy>Timucin Cicek</cp:lastModifiedBy>
  <cp:revision>8</cp:revision>
  <dcterms:created xsi:type="dcterms:W3CDTF">2026-07-27T12:25:00Z</dcterms:created>
  <dcterms:modified xsi:type="dcterms:W3CDTF">2026-07-27T16:44:00Z</dcterms:modified>
  <dc:language>de-DE</dc:language>
</cp:coreProperties>
</file>