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I — Especificação Técnica</w:t>
      </w:r>
    </w:p>
    <w:p>
      <w:r>
        <w:t>RFP nº 2026-017 — Banco Horizonte Fictício S.A. — Versão 1.0 — 15/10/2026</w:t>
      </w:r>
    </w:p>
    <w:p>
      <w:r>
        <w:rPr>
          <w:i/>
        </w:rPr>
        <w:t>DOCUMENTO FICTÍCIO PARA TESTE — qualquer semelhança com organizações reais é coincidência.</w:t>
      </w:r>
    </w:p>
    <w:p>
      <w:pPr>
        <w:pStyle w:val="Heading1"/>
      </w:pPr>
      <w:r>
        <w:t>1. SERVIÇOS DE SOC</w:t>
      </w:r>
    </w:p>
    <w:p>
      <w:r>
        <w:t>1.1 O proponente deverá prestar serviço de monitoramento contínuo de eventos de segurança, em regime 24x7x365.</w:t>
      </w:r>
    </w:p>
    <w:p>
      <w:r>
        <w:t>1.2 O proponente deverá fornecer a solução de SIEM, podendo esta ser disponibilizada em nuvem pública, em região de livre escolha do proponente.</w:t>
      </w:r>
    </w:p>
    <w:p>
      <w:r>
        <w:t>1.3 Os registros (logs) de segurança deverão ser retidos por no mínimo 12 (doze) meses.</w:t>
      </w:r>
    </w:p>
    <w:p>
      <w:r>
        <w:t>1.4 O SIEM deverá ser integrado a todos os ativos relevantes do Contratante.</w:t>
      </w:r>
    </w:p>
    <w:p>
      <w:r>
        <w:t>1.5 O serviço deverá contemplar resposta a incidentes, incluindo contenção, erradicação e elaboração de relatório pós-incidente.</w:t>
      </w:r>
    </w:p>
    <w:p>
      <w:r>
        <w:t>1.6 Para fins de auditoria, os logs deverão ser mantidos por 5 (cinco) anos.</w:t>
      </w:r>
    </w:p>
    <w:p>
      <w:pPr>
        <w:pStyle w:val="Heading1"/>
      </w:pPr>
      <w:r>
        <w:t>2. NÍVEIS DE SERVIÇO (SLA)</w:t>
      </w:r>
    </w:p>
    <w:p>
      <w:r>
        <w:t>2.1 Tempo máximo para início do tratamento de incidentes críticos: 15 (quinze) minutos.</w:t>
      </w:r>
    </w:p>
    <w:p>
      <w:r>
        <w:t>2.2 Disponibilidade mínima mensal da plataforma SIEM: 99,9%.</w:t>
      </w:r>
    </w:p>
    <w:p>
      <w:r>
        <w:t>2.3 Relatório mensal de indicadores, a ser entregue até o 5º dia útil do mês subsequente.</w:t>
      </w:r>
    </w:p>
    <w:p>
      <w:r>
        <w:t>2.4 A classificação de criticidade dos incidentes seguirá a matriz de classificação do Contratante.</w:t>
      </w:r>
    </w:p>
    <w:p>
      <w:pPr>
        <w:pStyle w:val="Heading1"/>
      </w:pPr>
      <w:r>
        <w:t>3. GESTÃO DE IDENTIDADES E ACESSOS (IAM)</w:t>
      </w:r>
    </w:p>
    <w:p>
      <w:r>
        <w:t>3.1 Gestão do ciclo de vida das identidades (admissão, movimentação e desligamento), com revogação dos acessos de colaboradores desligados em até 24 (vinte e quatro) horas.</w:t>
      </w:r>
    </w:p>
    <w:p>
      <w:r>
        <w:t>3.2 Autenticação multifator (MFA) obrigatória para 100% dos usuários com acesso privilegiado.</w:t>
      </w:r>
    </w:p>
    <w:p>
      <w:r>
        <w:t>3.3 Revisão (recertificação) trimestral dos acessos concedidos.</w:t>
      </w:r>
    </w:p>
    <w:p>
      <w:r>
        <w:t>3.4 É desejável que a solução contemple cofre de senhas para contas privilegiadas (PAM).</w:t>
      </w:r>
    </w:p>
    <w:p>
      <w:pPr>
        <w:pStyle w:val="Heading1"/>
      </w:pPr>
      <w:r>
        <w:t>4. TRANSIÇÃO</w:t>
      </w:r>
    </w:p>
    <w:p>
      <w:r>
        <w:t>4.1 A transição dos serviços deverá ser concluída em até 60 (sessenta) dias corridos a partir da assinatura do contrato.</w:t>
      </w:r>
    </w:p>
    <w:p>
      <w:r>
        <w:t>4.2 Durante a transição, o proponente deverá operar em paralelo com o fornecedor atual, sem custo adicional para o Contratante.</w:t>
      </w:r>
    </w:p>
    <w:p>
      <w:pPr>
        <w:pStyle w:val="Heading1"/>
      </w:pPr>
      <w:r>
        <w:t>5. EQUIPE</w:t>
      </w:r>
    </w:p>
    <w:p>
      <w:r>
        <w:t>5.1 O serviço deverá contar com coordenador com certificação CISSP, dedicado exclusivamente ao contrato.</w:t>
      </w:r>
    </w:p>
    <w:p>
      <w:r>
        <w:t>5.2 Os analistas de nível 1 deverão atuar presencialmente na sede do Contratante, em São Paulo/SP, em horário comercial.</w:t>
      </w:r>
    </w:p>
    <w:p>
      <w:pPr>
        <w:pStyle w:val="Heading1"/>
      </w:pPr>
      <w:r>
        <w:t>6. RESPONSABILIDADES DO CONTRATANTE</w:t>
      </w:r>
    </w:p>
    <w:p>
      <w:r>
        <w:t>6.1 Disponibilizar acesso remoto seguro (VPN) aos ambientes monitorados.</w:t>
      </w:r>
    </w:p>
    <w:p>
      <w:r>
        <w:t>6.2 Disponibilizar a documentação técnica do ambiente em até 10 (dez) dias após a assinatura do contrato.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— Especificação Técnica (fictício)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