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contato dos lábios</w:t>
      </w:r>
      <w:r w:rsidDel="00000000" w:rsidR="00000000" w:rsidRPr="00000000">
        <w:rPr>
          <w:sz w:val="24"/>
          <w:szCs w:val="24"/>
          <w:rtl w:val="0"/>
        </w:rPr>
        <w:t xml:space="preserve">: Peça para a pessoa unir o lábio superior e o inferior de forma suave, mas firme, bloqueando a saída do ar pela boca por um breve segundo.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explosão do ar</w:t>
      </w:r>
      <w:r w:rsidDel="00000000" w:rsidR="00000000" w:rsidRPr="00000000">
        <w:rPr>
          <w:sz w:val="24"/>
          <w:szCs w:val="24"/>
          <w:rtl w:val="0"/>
        </w:rPr>
        <w:t xml:space="preserve">: O ar acumula atrás dos lábios e é solto de repente, criando uma pequena "explosão" silenciosa.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Treino visual</w:t>
      </w:r>
      <w:r w:rsidDel="00000000" w:rsidR="00000000" w:rsidRPr="00000000">
        <w:rPr>
          <w:sz w:val="24"/>
          <w:szCs w:val="24"/>
          <w:rtl w:val="0"/>
        </w:rPr>
        <w:t xml:space="preserve">: Pratique de frente para o espelho de forma exagerada para enxergar bem o movimento de "abrir e fechar" a boca.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