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posição dos dentes e lábios:</w:t>
      </w:r>
      <w:r w:rsidDel="00000000" w:rsidR="00000000" w:rsidRPr="00000000">
        <w:rPr>
          <w:rtl w:val="0"/>
        </w:rPr>
        <w:t xml:space="preserve"> Peça para a pessoa encostar levemente a ponta da língua logo atrás dos dentes superiores (na região alveolar), mantendo os lábios soltos e levemente abertos para permitir a saída natural do som, sem tensão excessiva.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passagem do ar:</w:t>
      </w:r>
      <w:r w:rsidDel="00000000" w:rsidR="00000000" w:rsidRPr="00000000">
        <w:rPr>
          <w:rtl w:val="0"/>
        </w:rPr>
        <w:t xml:space="preserve"> Como a letra "D" é uma consoante oclusiva sonora, o fluxo de ar é temporariamente bloqueado pela língua contra os dentes e liberado de forma rápida com vibração das cordas vocais, criando um som nítido e sonoro.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Treino visual:</w:t>
      </w:r>
      <w:r w:rsidDel="00000000" w:rsidR="00000000" w:rsidRPr="00000000">
        <w:rPr>
          <w:rtl w:val="0"/>
        </w:rPr>
        <w:t xml:space="preserve"> Pratique de frente para o espelho focando na precisão do ponto articulatório. Observe que a mandíbula se movimenta discretamente e a ponta da língua faz um toque rápido e preciso, ficando oculta ou parcialmente visível dependendo da abertura da boca.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