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posição dos dentes e lábios:</w:t>
      </w:r>
      <w:r w:rsidDel="00000000" w:rsidR="00000000" w:rsidRPr="00000000">
        <w:rPr>
          <w:rtl w:val="0"/>
        </w:rPr>
        <w:t xml:space="preserve"> Peça para a pessoa posicionar os dentes superiores levemente apoiados sobre o lábio inferior, formando uma leve curva natural, mantendo os cantos da boca relaxados.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passagem do ar:</w:t>
      </w:r>
      <w:r w:rsidDel="00000000" w:rsidR="00000000" w:rsidRPr="00000000">
        <w:rPr>
          <w:rtl w:val="0"/>
        </w:rPr>
        <w:t xml:space="preserve"> Como a letra "F" é uma consoante fricativa e surda, o ar passa de forma contínua e espremida pelo pequeno espaço entre os dentes superiores e o lábio inferior, gerando um som de sopro suave (como um sussurro), sem vibração nas cordas vocais.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Treino visual:</w:t>
      </w:r>
      <w:r w:rsidDel="00000000" w:rsidR="00000000" w:rsidRPr="00000000">
        <w:rPr>
          <w:rtl w:val="0"/>
        </w:rPr>
        <w:t xml:space="preserve"> Pratique de frente para o espelho focando na estabilidade do contato entre o dente e o lábio. Observe que a boca mantém uma postura firme, permitindo a saída constante do ar enquanto a mandíbula permanece estável.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