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O formato dos lábios:</w:t>
      </w:r>
      <w:r w:rsidDel="00000000" w:rsidR="00000000" w:rsidRPr="00000000">
        <w:rPr>
          <w:rtl w:val="0"/>
        </w:rPr>
        <w:t xml:space="preserve"> Peça para a pessoa esticar bem os lábios para as laterais, como se estivesse dando um sorriso bem largo, deixando os dentes apenas levemente afastados.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posição da língua:</w:t>
      </w:r>
      <w:r w:rsidDel="00000000" w:rsidR="00000000" w:rsidRPr="00000000">
        <w:rPr>
          <w:rtl w:val="0"/>
        </w:rPr>
        <w:t xml:space="preserve"> A língua sobe e vai para a frente, quase encostando no céu da boca. As laterais da língua podem encostar levemente nos dentes superiores.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 passagem do ar (som):</w:t>
      </w:r>
      <w:r w:rsidDel="00000000" w:rsidR="00000000" w:rsidRPr="00000000">
        <w:rPr>
          <w:rtl w:val="0"/>
        </w:rPr>
        <w:t xml:space="preserve"> O ar não sofre bloqueio (como nas consoantes), mas passa por um espaço bem estreitinho. Ele sai de forma contínua enquanto as cordas vocais vibram, produzindo um som agudo e limpo.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imitando um sorriso exagerado, como se fosse tirar uma foto e dissesse "Xiiiis!", soltando o som contínuo de "Iiii".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