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posição dos dentes e lábios:</w:t>
      </w:r>
      <w:r w:rsidDel="00000000" w:rsidR="00000000" w:rsidRPr="00000000">
        <w:rPr>
          <w:rtl w:val="0"/>
        </w:rPr>
        <w:t xml:space="preserve"> Peça para a pessoa elevar a ponta da língua até encostá-la firmemente na gengiva logo acima dos dentes superiores (região alveolar), mantendo os dentes levemente entreabertos e os lábios relaxados.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passagem do ar:</w:t>
      </w:r>
      <w:r w:rsidDel="00000000" w:rsidR="00000000" w:rsidRPr="00000000">
        <w:rPr>
          <w:rtl w:val="0"/>
        </w:rPr>
        <w:t xml:space="preserve"> Como a letra "L" é uma consoante lateral sonora, o fluxo de ar contínuo passa livremente pelos dois lados (as laterais) da língua, enquanto as cordas vocais vibram, gerando um som fluido e suave.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Treino visual:</w:t>
      </w:r>
      <w:r w:rsidDel="00000000" w:rsidR="00000000" w:rsidRPr="00000000">
        <w:rPr>
          <w:rtl w:val="0"/>
        </w:rPr>
        <w:t xml:space="preserve"> Pratique de frente para o espelho focando na estabilidade da mandíbula. Observe que a boca se mantém em uma posição aberta e natural, enquanto o movimento principal acontece de forma discreta com o toque da ponta da língua no céu da boca.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