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contato da língua:</w:t>
      </w:r>
      <w:r w:rsidDel="00000000" w:rsidR="00000000" w:rsidRPr="00000000">
        <w:rPr>
          <w:rtl w:val="0"/>
        </w:rPr>
        <w:t xml:space="preserve"> Peça para a pessoa manter os lábios levemente entreabertos e apoiar a ponta da língua com firmeza na parte de trás dos dentes superiores (os dentes da frente), bloqueando a passagem do ar.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soltura do ar:</w:t>
      </w:r>
      <w:r w:rsidDel="00000000" w:rsidR="00000000" w:rsidRPr="00000000">
        <w:rPr>
          <w:rtl w:val="0"/>
        </w:rPr>
        <w:t xml:space="preserve"> A língua se descola rapidamente dos dentes e desce de forma brusca para liberar o ar acumulado. É um movimento muito rápido e seco, feito inteiramente por dentro da boca.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Treino visual:</w:t>
      </w:r>
      <w:r w:rsidDel="00000000" w:rsidR="00000000" w:rsidRPr="00000000">
        <w:rPr>
          <w:rtl w:val="0"/>
        </w:rPr>
        <w:t xml:space="preserve"> Pratique de frente para o espelho, prestando atenção de que os lábios não se tocam em nenhum momento. O foco visual deve estar na boca levemente aberta e no movimento rápido da ponta da língua batendo atrás dos dentes e logo descendo.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