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contato dos dentes e lábios:</w:t>
      </w:r>
      <w:r w:rsidDel="00000000" w:rsidR="00000000" w:rsidRPr="00000000">
        <w:rPr>
          <w:rtl w:val="0"/>
        </w:rPr>
        <w:t xml:space="preserve"> Peça para a pessoa apoiar os dentes superiores de forma suave, mas firme, bem na parte de cima do lábio inferior (como se estivesse mordiscando o lábio de leve).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vibração e saída do ar:</w:t>
      </w:r>
      <w:r w:rsidDel="00000000" w:rsidR="00000000" w:rsidRPr="00000000">
        <w:rPr>
          <w:rtl w:val="0"/>
        </w:rPr>
        <w:t xml:space="preserve"> O ar é empurrado de forma contínua por entre os dentes e o lábio inferior, gerando uma pequena vibração ou fricção audível e visível.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espelho, prestando muita atenção no encaixe perfeito dos dentes superiores tocando o lábio inferior. É um movimento super característico onde a boca não se fecha totalmente, mas os dentes da frente aparecem apoiados no lábio de baixo.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