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Tennessee (TN)</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None identified</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Tennessee Consumer Protection Act of 1977 (TCPA)</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Tenn. Code Ann. §§ 47-18-101 through 47-18-135</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unfair or deceptive acts or practices affecting the conduct of trade or commerce, including the specifically listed practices in Tenn. Code Ann. § 47-18-104.</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A qualifying consumer may recover actual damages and reasonable attorney’s fees and costs under Tenn. Code Ann. § 47-18-109. Treble damages may be awarded for a willful or knowing violation. The Attorney General may investigate, accept assurances of voluntary compliance, and seek injunctive and restorative relief.</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Tenn. Code Ann. § 47-18-109 requires an ascertainable loss caused by an unfair or deceptive act or practice. Under § 47-18-110, suit must be filed within one year after discovery of the unlawful act and no later than five years after the consumer transaction giving rise to the claim.</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Tennessee Attorney General and Reporter — Consumer Protection Division; see Tenn. Code Ann. §§ 47-18-106 through 47-18-108.</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Collection/tradeline derogatory activity present — review Tennessee collection-service licensing, assignment, account-management, and litigation requirements together with applicable federal debt-collection law.</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 xml:space="preserve">Overview: The Tennessee Collection Service Act regulates collection-service licensing, bonds, records, account handling, and authorized collection litigation. The federal Fair Debt </w:t>
      </w:r>
      <w:r w:rsidRPr="00566B6A">
        <w:rPr>
          <w:rFonts w:ascii="Courier New" w:hAnsi="Courier New" w:cs="Courier New"/>
          <w:bCs/>
          <w:sz w:val="22"/>
        </w:rPr>
        <w:lastRenderedPageBreak/>
        <w:t>Collection Practices Act remains the principal consumer-conduct statute for qualifying third-party debt collectors.</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Tenn. Code Ann. §§ 62-20-101 through 62-20-124;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Regulators: Tennessee Collection Service Board, Tennessee Department of Commerce and Insurance; Tennessee Attorney General; CFPB and FTC where federal jurisdiction applies.</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Tennessee’s Identity Theft Deterrence provisions regulate security freezes, breach notification, credit-report restrictions, and related identity protections. Federal FCRA procedures remain the primary framework for general accuracy and reinvestigation duties.</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Tennessee consumers may request placement, temporary lifting, or removal of a security freeze under Tenn. Code Ann. § 47-18-2108. Protected-consumer freezes are addressed in § 47-18-2111.</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obtain file disclosures under the federal FCRA and use Tennessee security-freeze procedures to restrict release of consumer reports.</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Inaccurate, incomplete, or unverifiable addresses, telephone numbers, employer entries, and other personal identifiers may be disputed directly with the consumer reporting agency under 15 U.S.C. § 1681i. Tennessee claims should identify a distinct state-law duty and be evaluated separately for FCRA preemption.</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Initial and extended fraud alerts arise principally under federal law; Tennessee supplements identity restoration through its security-freeze, identity-theft, and victim-rights provisions.</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Tenn. Code Ann. § 47-18-2108 provides specified relief for a consumer reporting agency’s failure to comply with a valid security freeze, including ascertainable loss or statutory damages and reasonable costs and attorney’s fees, subject to statutory terms.</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submitted directly to each consumer reporting agency displaying the inaccurate information. A 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Tenn. Code Ann. § 39-14-150 criminalizes identity theft and identity-theft trafficking and recognizes the person whose identifying information was misused as a crime victim.</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restoration: Preserve police and FTC identity-theft reports, proof of identity, creditor notices, bureau disputes, freeze confirmations, account records, and any court or agency documentation.</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fraud alerts, security freezes, creditor notifications, police or FTC identity-theft reports, and documented dispute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freeze confirmations, creditor notices,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Tenn. Code Ann. § 47-18-2107 requires an information holder to notify affected Tennessee residents after a qualifying breach of system security, generally no later than 45 days after discovery or notification, subject to statutory exceptions and law-enforcement delay.</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Tennessee identity-theft deterrence, breach-notification, and security-freeze provisions are codified at Tenn. Code Ann. §§ 47-18-2101 through 47-18-2111.</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No general omnibus Tennessee consumer-data privacy statute is included in this module; breach-notification, security-freeze, identity-theft, sector-specific, and federal privacy rules may apply.</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Security duties: Covered entities should preserve breach investigation records, notice content, delivery dates, law-enforcement delay requests, and remediation documentation.</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Tennessee Attorney General and Reporter — Consumer Protection Division: consumer complaint intake, TCPA investigations, voluntary compliance, and civil enforcement.</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Tennessee Collection Service Board: licensing, complaint review, and disciplinary oversight for collection-service businesses within its jurisdiction.</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Tennessee Department of Financial Institutions: complaint pathway for Tennessee-chartered banks, credit unions, and other supervised financial entities, as jurisdiction permits.</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Tennessee intake when federal consumer-finance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credit-reporting disputes; none are identified as directly applicable in Tennessee without municipal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Tenn. Code Ann. §§ 47-18-101–135</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TCPA — unfair or deceptive trade practices</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 damages; fees/costs; possible treble damages; AG injunction/restoration</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Transaction proof; act or representation; ascertainable loss; causation; timing</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Tenn. Code Ann. §§ 62-20-101–124</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Collection-service licensing, bonds, records, accounts, and litigation</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Board licensing, investigation, discipline; federal remedies may apply separately</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Collector identity; license; bond; letters; call logs; ledger; assignment</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Tenn. Code Ann. §§ 47-18-2108, 2111</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and protected-consumer security freezes</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Ascertainable or statutory damages; costs and fees, subject to statutory terms</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confirmation; PIN/password; release history; notice; damages</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Statute/Act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Tenn. Code Ann. § 47-18-2107</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Security-breach investigation and notice</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Resident notice; specified AG notice; enforcement under applicable law</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notice; dates; data elements; investigation and remediation records</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Tenn. Code Ann. § 39-14-150</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 theft, trafficking, and victim rights</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remedies, restitution, and victim protections where authorized</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identity proof; creditor and bureau notices; court record</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Tennessee AG — Consumer Protection Division</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complaint intake and TCPA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Investigation, voluntary compliance, injunction, restoration, or civil enforcement</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attachments; agency response;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Collection Service Board / TDFI</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Licensed collectors and supervised financial entities</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Jurisdictional review and administrative action where authorized</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lookup; complaint file; regulator correspondence</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provisions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Tennessee and federal frameworks</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Tennessee (TN)</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No invented citations. The consumer-protection decisions below interpret the Tennessee Consumer Protection Act. The debt-related decision should not be described as creating a private claim under the Tennessee Collection Service Act.</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Ganzevoort v. Russell</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Tenn. Sup. Ct.</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1997</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949 S.W.2d 293</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Approved a broad TCPA conception of deceptive conduct and upheld relief arising from material misrepresentations and nondisclosures in a consumer real-estate transaction. Technical common-law fraud requirements do not control the statutory analysis.</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exact statement or omitted fact, its materiality, the consumer transaction, the resulting loss, and preserve advertisements, disclosures, contracts, inspections, and communications.</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Tucker v. Sierra Builders</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Tenn. Ct. App.</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2005</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180 S.W.3d 109</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Explains that an act may be deceptive when it causes or tends to cause a false impression and unfair when it causes substantial consumer injury. A private TCPA claim requires an ascertainable loss caused by the challenged conduct.</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Separate poor performance from actionable deception; preserve representations, warranties, invoices, repair evidence, expert findings, loss calculations, and proof connecting the conduct to the injury.</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Discover Bank v. Morgan</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Tenn. Sup. Ct.</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2012</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363 S.W.3d 479</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actual damages may include a demonstrable loss of available credit under Tenn. Code Ann. § 47-18-109 when the loss is proximately caused by the defendant and produces actual harm.</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collection pleadings, account records, bureau reports, denials, credit-limit changes, adverse-action notices, financing terms, and evidence connecting the challenged conduct to measurable credit harm.</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Ganzevoort v. Russell</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Tenn. Sup. Ct.</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1997</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949 S.W.2d 293</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Approved a broad TCPA conception of deceptive conduct and upheld relief arising from material misrepresentations and nondisclosures in a consumer real-estate transaction. Technical common-law fraud requirements do not control the statutory analysis.</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exact statement or omitted fact, its materiality, the consumer transaction, the resulting loss, and preserve advertisements, disclosures, contracts, inspections, and communications.</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Tucker v. Sierra Builders</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Tenn. Ct. App.</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2005</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180 S.W.3d 109</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Explains that an act may be deceptive when it causes or tends to cause a false impression and unfair when it causes substantial consumer injury. A private TCPA claim requires an ascertainable loss caused by the challenged conduct.</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Separate poor performance from actionable deception; preserve representations, warranties, invoices, repair evidence, expert findings, loss calculations, and proof connecting the conduct to the injury.</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Discover Bank v. Morgan</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Tenn. Sup. Ct.</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2012</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363 S.W.3d 479</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actual damages may include a demonstrable loss of available credit under Tenn. Code Ann. § 47-18-109 when the loss is proximately caused by the defendant and produces actual harm.</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collection pleadings, account records, bureau reports, denials, credit-limit changes, adverse-action notices, financing terms, and evidence connecting the challenged conduct to measurable credit harm.</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duties concerning accuracy, reinvestigation, dispute processing, and reporting. Tennessee claims that duplicate or conflict with those duties may be preemption-sensitive.</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Tennessee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Tenn. Code Ann. Part 21 addresses freezes/breach</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the FCRA dispute and method-of-verification record; avoid unsupported parallel Tennessee reporting duties.</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Tennessee law evaluated only for distinct conduct</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15 U.S.C. § 1681s-2 and the bureau-dispute notice trail.</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Tenn. Code Ann. § 39-14-150; federal blocking law</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police/FTC reports, identity proof, exact disputed items, freeze records, and federal blocking requests.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Tenn. Code Ann. §§ 62-20-101–124; FDCPA; TCPA where applicable</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communications, license and bond status, assignment records, balances, disputes, and litigation documents.</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Tenn. Code Ann. §§ 47-18-2108, 2111</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freeze confirmation, PIN/password records, release history, notice, correction request, and damages.</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Data breach / 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Tenn. Code Ann. § 47-18-2107</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breach notice, data elements, discovery and notice dates, AG submission, investigation, and remediation records.</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deceptive 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TCPA, Tenn. Code Ann. §§ 47-18-101–135</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a distinct trade practice, unfair or deceptive act, ascertainable loss, causation, and timely filing.</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 identity-theft conduct, deceptive collection communications, collection-service licensing or account-handling issues, security-freeze violations, breach-notification duties, and TCPA deception factually distinct from CRA or furnisher reporting obligations.</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 Tennessee claims that attempt to impose accuracy, reinvestigation, or furnishing duties parallel to or inconsistent with the federal FCRA.</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Step 5 — File a Tennessee complaint with the Attorney General, Collection Service Board, or Department of Financial Institutions as the subject and agency jurisdiction require;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Step 7 — Escalate unresolved federal issues to the CFPB or FTC after Tennessee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lastRenderedPageBreak/>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Tennessee AG / Collection Board / TDFI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TCPA transaction + discovery and filing-date proof</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Trade practice, unfair or deceptive act, ascertainable loss, causation, and limitation/repose timing</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Tennessee TCPA transaction record + discovery and filing-date proof</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license and regulator-jurisdiction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Tennessee (TN)</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Tennessee Consumer Protection Act of 1977 | Tenn. Code Ann. §§ 47-18-101 through 47-18-135 | Remedies: actual damages, reasonable fees and costs, possible treble damages for willful or knowing violations, and Attorney General injunctive or restorative relief. | Authority: Tennessee Attorney General /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Tennessee Collection Service Act | Tenn. Code Ann. §§ 62-20-101 through 62-20-124 | Remedies: licensing, bonding, investigation, discipline, account-handling safeguards, and authorized collection-litigation requirements; federal FDCPA remedies may apply separately. | Authority: Collection Service Board / courts applying federal law.</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Tennessee Identity Theft Deterrence and Security Freeze Law | Tenn. Code Ann. §§ 47-18-2101 through 47-18-2111 | Remedies: security freezes, breach notification, protected-consumer freezes, and specified consumer relief under § 47-18-2108. | Authority: Attorney General / courts / consumer reporting agencies.</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Tennessee Data-Breach Notification Law | Tenn. Code Ann. § 47-18-2107 | Remedies: required resident and specified Attorney General notice, investigation records, and enforcement under applicable consumer-protection law. | Authority: Tennessee Attorney General.</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Tennessee Identity Theft Victims’ Rights Act | Tenn. Code Ann. § 39-14-150 | Remedies: criminal prosecution, restitution and victim rights where authorized, and identity-restoration procedures. | Authority: law enforcement / courts.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Tennessee Collection Service Board rules — consult current Tennessee administrative rules governing licensing, bonds, conduct, records, complaints, and discipline. Verify the exact rule chapter and section before filing or relying on a rule.</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Tennessee Attorney General — Consumer Protection Division: consumer complaint intake, TCPA enforcement, and identity-theft guidance.</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Tennessee Collection Service Board: licensed-collector lookup, complaint procedures, and collection-industry oversight.</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Tennessee Department of Financial Institutions: consumer complaint pathway for supervised financial entities.</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Tennessee without municipal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Ganzevoort v. Russell</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Tenn. Sup. Ct.</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1997</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949 S.W.2d 293</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Approved a broad TCPA conception of deceptive conduct and upheld relief arising from material misrepresentations and nondisclosures in a consumer real-estate transaction. Technical common-law fraud requirements do not control the statutory analysis.</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exact statement or omitted fact, its materiality, the consumer transaction, the resulting loss, and preserve advertisements, disclosures, contracts, inspections, and communications.</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Tucker v. Sierra Builders</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Tenn. Ct. App.</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2005</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180 S.W.3d 109</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Explains that an act may be deceptive when it causes or tends to cause a false impression and unfair when it causes substantial consumer injury. A private TCPA claim requires an ascertainable loss caused by the challenged conduct.</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Separate poor performance from actionable deception; preserve representations, warranties, invoices, repair evidence, expert findings, loss calculations, and proof connecting the conduct to the injury.</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Discover Bank v. Morgan</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Tenn. Sup. Ct.</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2012</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363 S.W.3d 479</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actual damages may include a demonstrable loss of available credit under Tenn. Code Ann. § 47-18-109 when the loss is proximately caused by the defendant and produces actual harm.</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collection pleadings, account records, bureau reports, denials, credit-limit changes, adverse-action notices, financing terms, and evidence connecting the challenged conduct to measurable credit harm.</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 TK-Authority-2026-07-TN</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 July 28,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 Federal + TN</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Citations must be validated against official sources before inclusion. Tennessee statutory references and appellate decisions in this version were checked against current code publications and Tennessee judicial materials. Federal FCRA authorities were checked against the U.S. Code and current Regulation V materials available on July 28, 2026.</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was generated using a continuously updated authority library designed to identify relevant federal and Tennessee consumer-protection authorities. Statutes, regulations, agency guidance, and judicial decisions may change over time. This section is educational and informational only and does not constitute legal advice or legal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Tennessee administrative rule citation by agency, chapter, and section.</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5A489BC8" w14:textId="77777777" w:rsidR="00BD7EED" w:rsidRDefault="00BD7EED">
      <w:pPr>
        <w:keepLines/>
        <w:spacing w:before="40" w:after="0"/>
        <w:rPr>
          <w:rFonts w:ascii="Courier New" w:hAnsi="Courier New" w:cs="Courier New"/>
          <w:i/>
          <w:color w:val="464646"/>
          <w:sz w:val="22"/>
        </w:rPr>
      </w:pPr>
    </w:p>
    <w:p w14:paraId="793F004D" w14:textId="77777777" w:rsidR="00BD7EED" w:rsidRDefault="00BD7EED">
      <w:pPr>
        <w:keepLines/>
        <w:spacing w:before="40" w:after="0"/>
        <w:rPr>
          <w:rFonts w:ascii="Courier New" w:hAnsi="Courier New" w:cs="Courier New"/>
          <w:i/>
          <w:color w:val="464646"/>
          <w:sz w:val="22"/>
        </w:rPr>
      </w:pPr>
    </w:p>
    <w:p w14:paraId="4EA59E70" w14:textId="77777777" w:rsidR="00BD7EED" w:rsidRDefault="00BD7EED">
      <w:pPr>
        <w:keepLines/>
        <w:spacing w:before="40" w:after="0"/>
        <w:rPr>
          <w:rFonts w:ascii="Courier New" w:hAnsi="Courier New" w:cs="Courier New"/>
          <w:i/>
          <w:color w:val="464646"/>
          <w:sz w:val="22"/>
        </w:rPr>
      </w:pPr>
    </w:p>
    <w:p w14:paraId="41B72AA8" w14:textId="77777777" w:rsidR="00BD7EED" w:rsidRDefault="00BD7EED">
      <w:pPr>
        <w:keepLines/>
        <w:spacing w:before="40" w:after="0"/>
        <w:rPr>
          <w:rFonts w:ascii="Courier New" w:hAnsi="Courier New" w:cs="Courier New"/>
          <w:i/>
          <w:color w:val="464646"/>
          <w:sz w:val="22"/>
        </w:rPr>
      </w:pPr>
    </w:p>
    <w:p w14:paraId="42B7C716" w14:textId="77777777" w:rsidR="00BD7EED" w:rsidRDefault="00BD7EED">
      <w:pPr>
        <w:keepLines/>
        <w:spacing w:before="40" w:after="0"/>
        <w:rPr>
          <w:rFonts w:ascii="Courier New" w:hAnsi="Courier New" w:cs="Courier New"/>
          <w:i/>
          <w:color w:val="464646"/>
          <w:sz w:val="22"/>
        </w:rPr>
      </w:pPr>
    </w:p>
    <w:p w14:paraId="5C3A8A05" w14:textId="77777777" w:rsidR="00BD7EED" w:rsidRDefault="00BD7EED">
      <w:pPr>
        <w:keepLines/>
        <w:spacing w:before="40" w:after="0"/>
        <w:rPr>
          <w:rFonts w:ascii="Courier New" w:hAnsi="Courier New" w:cs="Courier New"/>
          <w:i/>
          <w:color w:val="464646"/>
          <w:sz w:val="22"/>
        </w:rPr>
      </w:pPr>
    </w:p>
    <w:p w14:paraId="0BEFAA58" w14:textId="77777777" w:rsidR="00BD7EED" w:rsidRDefault="00BD7EED">
      <w:pPr>
        <w:keepLines/>
        <w:spacing w:before="40" w:after="0"/>
        <w:rPr>
          <w:rFonts w:ascii="Courier New" w:hAnsi="Courier New" w:cs="Courier New"/>
          <w:i/>
          <w:color w:val="464646"/>
          <w:sz w:val="22"/>
        </w:rPr>
      </w:pPr>
    </w:p>
    <w:p w14:paraId="72054B27" w14:textId="77777777" w:rsidR="00BD7EED" w:rsidRDefault="00BD7EED">
      <w:pPr>
        <w:keepLines/>
        <w:spacing w:before="40" w:after="0"/>
        <w:rPr>
          <w:rFonts w:ascii="Courier New" w:hAnsi="Courier New" w:cs="Courier New"/>
          <w:i/>
          <w:color w:val="464646"/>
          <w:sz w:val="22"/>
        </w:rPr>
      </w:pPr>
    </w:p>
    <w:p w14:paraId="1C34DB2E" w14:textId="77777777" w:rsidR="00BD7EED" w:rsidRDefault="00BD7EED">
      <w:pPr>
        <w:keepLines/>
        <w:spacing w:before="40" w:after="0"/>
        <w:rPr>
          <w:rFonts w:ascii="Courier New" w:hAnsi="Courier New" w:cs="Courier New"/>
          <w:i/>
          <w:color w:val="464646"/>
          <w:sz w:val="22"/>
        </w:rPr>
      </w:pPr>
    </w:p>
    <w:p w14:paraId="6D976413" w14:textId="77777777" w:rsidR="00BD7EED" w:rsidRDefault="00BD7EED">
      <w:pPr>
        <w:keepLines/>
        <w:spacing w:before="40" w:after="0"/>
        <w:rPr>
          <w:rFonts w:ascii="Courier New" w:hAnsi="Courier New" w:cs="Courier New"/>
          <w:i/>
          <w:color w:val="464646"/>
          <w:sz w:val="22"/>
        </w:rPr>
      </w:pPr>
    </w:p>
    <w:p w14:paraId="372A5196" w14:textId="77777777" w:rsidR="00BD7EED" w:rsidRDefault="00BD7EED">
      <w:pPr>
        <w:keepLines/>
        <w:spacing w:before="40" w:after="0"/>
        <w:rPr>
          <w:rFonts w:ascii="Courier New" w:hAnsi="Courier New" w:cs="Courier New"/>
          <w:i/>
          <w:color w:val="464646"/>
          <w:sz w:val="22"/>
        </w:rPr>
      </w:pPr>
    </w:p>
    <w:p w14:paraId="335C40D1" w14:textId="77777777" w:rsidR="00BD7EED" w:rsidRDefault="00BD7EED">
      <w:pPr>
        <w:keepLines/>
        <w:spacing w:before="40" w:after="0"/>
        <w:rPr>
          <w:rFonts w:ascii="Courier New" w:hAnsi="Courier New" w:cs="Courier New"/>
          <w:i/>
          <w:color w:val="464646"/>
          <w:sz w:val="22"/>
        </w:rPr>
      </w:pPr>
    </w:p>
    <w:p w14:paraId="6FD257A4" w14:textId="77777777" w:rsidR="00BD7EED" w:rsidRDefault="00BD7EED">
      <w:pPr>
        <w:keepLines/>
        <w:spacing w:before="40" w:after="0"/>
        <w:rPr>
          <w:rFonts w:ascii="Courier New" w:hAnsi="Courier New" w:cs="Courier New"/>
          <w:i/>
          <w:color w:val="464646"/>
          <w:sz w:val="22"/>
        </w:rPr>
      </w:pPr>
    </w:p>
    <w:p w14:paraId="6CD0DD27" w14:textId="77777777" w:rsidR="00BD7EED" w:rsidRPr="00566B6A" w:rsidRDefault="00BD7EED">
      <w:pPr>
        <w:keepLines/>
        <w:spacing w:before="40" w:after="0"/>
        <w:rPr>
          <w:rFonts w:ascii="Courier New" w:hAnsi="Courier New" w:cs="Courier New"/>
          <w:sz w:val="22"/>
        </w:rPr>
      </w:pPr>
    </w:p>
    <w:sectPr w:rsidR="00BD7EED" w:rsidRPr="00566B6A"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EE4E7" w14:textId="77777777" w:rsidR="00A43CBC" w:rsidRDefault="00A43CBC">
      <w:pPr>
        <w:spacing w:after="0" w:line="240" w:lineRule="auto"/>
      </w:pPr>
      <w:r>
        <w:separator/>
      </w:r>
    </w:p>
  </w:endnote>
  <w:endnote w:type="continuationSeparator" w:id="0">
    <w:p w14:paraId="4CEDF881" w14:textId="77777777" w:rsidR="00A43CBC" w:rsidRDefault="00A43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8A021" w14:textId="77777777" w:rsidR="00A43CBC" w:rsidRDefault="00A43CBC">
      <w:pPr>
        <w:spacing w:after="0" w:line="240" w:lineRule="auto"/>
      </w:pPr>
      <w:r>
        <w:separator/>
      </w:r>
    </w:p>
  </w:footnote>
  <w:footnote w:type="continuationSeparator" w:id="0">
    <w:p w14:paraId="474E0111" w14:textId="77777777" w:rsidR="00A43CBC" w:rsidRDefault="00A43C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TENNESSEE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9639D"/>
    <w:rsid w:val="00326F90"/>
    <w:rsid w:val="00463F22"/>
    <w:rsid w:val="00566B6A"/>
    <w:rsid w:val="00655F05"/>
    <w:rsid w:val="006C56BC"/>
    <w:rsid w:val="006F27AD"/>
    <w:rsid w:val="00736F61"/>
    <w:rsid w:val="00756B19"/>
    <w:rsid w:val="00964317"/>
    <w:rsid w:val="00A43CBC"/>
    <w:rsid w:val="00AA1D8D"/>
    <w:rsid w:val="00B47730"/>
    <w:rsid w:val="00BD7EED"/>
    <w:rsid w:val="00CB0664"/>
    <w:rsid w:val="00F247EE"/>
    <w:rsid w:val="00F302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4386</Words>
  <Characters>25006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29334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2026-07-28T14:47:00Z</dcterms:created>
  <dcterms:modified xsi:type="dcterms:W3CDTF">2026-07-28T14:47:00Z</dcterms:modified>
  <cp:category/>
</cp:coreProperties>
</file>