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Alabama (AL)</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Alabama Deceptive Trade Practices Act (ADTPA)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Ala. Code §§ 8-19-1 through 8-19-15</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listed deceptive trade practices and other unconscionable, false, misleading, or deceptive acts or practices in trade or commerce affecting Alabama consumers.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recover actual damages or $100, whichever is greater; the court may award up to three times actual damages, costs, and reasonable attorney’s fees. The Attorney General or a district attorney may seek injunctions, restitution, civil penalties, and other relief authorized by the Act.</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 but demand- and time-sensitive. Ala. Code § 8-19-10 requires monetary damage and generally a written demand for relief at least 15 days before filing. ADTPA actions are subject to the specific limitation in § 8-19-14; separate statutory-penalty or personal-right claims may be governed by Ala. Code § 6-2-38 unless another statute controls.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Alabama Attorney General and district attorneys — consumer-protection enforcement under Ala. Code § 8-19-4.</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the Alabama Consumer Credit Act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Alabama Consumer Credit Act, commonly called the Mini-Code, regulates consumer-credit transactions, finance charges, creditor remedies, licensing, and collection procedures. The federal Fair Debt Collection Practices Act (FDCPA) remains the principal 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Ala. Code §§ 5-19-1 through 5-19-33;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Alabama State Banking Department; Alabama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Alabama analogue to the federal FCRA governing general accuracy and reinvestigation duties was identified for this module. Alabama law separately addresses consumer credit-report security freezes and identity-theft restoration.</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Alabama consumers may request placement, temporary lifting, or removal of a security freeze under Ala. Code §§ 8-35-1 through 8-35-3.</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must receive Alabama’s security-freeze notice of rights when the federal summary of rights is provided.</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Alabama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Alabama supplements identity restoration through the Consumer Identity Protection Act, including civil relief and court-order blocking procedures.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Ala. Code § 8-35-2 authorizes a fine of not more than $100 for a violation concerning a specific consumer. Any additional private remedy must be supported by an independently applicable statute or federal law.</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Alabama’s Consumer Identity Protection Act, Ala. Code §§ 13A-8-190 through 13A-8-201, criminalizes identity theft and related conduct and provides restitution and a qualifying civil remedy.</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Credit-report blocking and document restoration: Ala. Code § 13A-8-200 provides a court-order procedure for blocking false information resulting from identity theft, and § 13A-8-201 authorizes qualifying identification documents to be reissued without charge.</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The Alabama Data Breach Notification Act requires a covered entity to investigate a qualifying breach and, when substantial harm is reasonably likely, notify affected Alabama residents generally within 45 days, subject to statutory exceptions and law-enforcement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The Alabama Data Breach Notification Act is codified at Ala. Code §§ 8-38-1 through 8-38-12; consumer credit-report security-freeze provisions are codified at §§ 8-35-1 through 8-35-3.</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Alabama consumer-data privacy act was identified for this module; sector-specific Alabama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Alabama Attorney General: Consumer Interest Division — consumer complaint intake and ADTPA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Alabama State Banking Department: Administration and enforcement of the Alabama Consumer Credit Act and complaint review for regulated creditors and licensees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Other state regulators: The appropriate Alabama financial, insurance, licensing, or professional regulator may review complaints within its subject-matter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Alabama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8-19-1–15</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ADTPA — deceptive, unconscionable, false, or misleading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or $100; discretionary treble damages; fees/costs; public injunctive and penalty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exact representation; monetary damage; 15-day demand; limitation analysis</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5-19-1–33</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Credit Act — finance charges, creditor remedies, licensing, and collection procedures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debtor remedies and regulatory action where authorized; federal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Contract; disclosures; creditor identity; account ledger; notices; payment and collection records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8-35-1–3</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lifting/removal, and notice of rights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procedures and fine under § 8-35-2(q); other remedies require independent authority</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8-38-1–12</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safeguards, breach investigation, and consumer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enforcement and civil penalties; no ADTPA private action created by the Act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affected data; dates; investigation; AG notice;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13A-8-190–201</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civil remedy, credit-report blocking, and document restoration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remedies/restitution; qualifying civil damages; blocking and reissuance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court order; identity affidavit; bureau notices; restoration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Alabama AG — Consumer Interest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ADTPA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mediation, investigation,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Alabama State Banking Department / applicable state regulator</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State-supervised creditors, licensees, and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examination, licensing,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 examination records</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Alabama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Alabama (AL)</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an Alabama Supreme Court case applying the federal FDCPA; it should not be described as creating a private debt-collection claim under the Alabama Consumer Credit Act.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Sheehan v. Bowden</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1990</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572 So. 2d 1211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pyramid-sales scheme fell within the ADTPA’s definitions of goods and trade or commerce; also treated the Act’s 15-day written-demand requirement as part of the private-action framework.</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statutory deceptive practice, consumer transaction, monetary loss, and each prospective respondent; send and preserve the written demand unless a statutory exception is documented.</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Jackson v. CIT Group/Sales Financing,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630 So. 2d 368</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summary judgment on ADTPA and Mini-Code claims where the consumers produced no substantial evidence of a misrepresentation or other actionable deceptive conduct in the financing transaction.</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statement, speaker, date, contract language, financing disclosures, reliance evidence, and proof connecting the challenged conduct to monetary damage.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Complete Cash Holdings, LLC v. Powell</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 Ala. LEXIS 46; 239 So. 3d 550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creditor collecting and enforcing its own title-pawn debt was not a debt collector under the federal FDCPA; liability depended on the statutory distinction between a creditor and a debt collector.</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who owned the debt, when it was acquired, the name used in collection, the entity’s principal business, repossession records, and every collection communication.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Sheehan v. Bowden</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1990</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572 So. 2d 1211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pyramid-sales scheme fell within the ADTPA’s definitions of goods and trade or commerce; also treated the Act’s 15-day written-demand requirement as part of the private-action framework.</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statutory deceptive practice, consumer transaction, monetary loss, and each prospective respondent; send and preserve the written demand unless a statutory exception is documented.</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Jackson v. CIT Group/Sales Financing,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630 So. 2d 368</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summary judgment on ADTPA and Mini-Code claims where the consumers produced no substantial evidence of a misrepresentation or other actionable deceptive conduct in the financing transaction.</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statement, speaker, date, contract language, financing disclosures, reliance evidence, and proof connecting the challenged conduct to monetary damage.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Complete Cash Holdings, LLC v. Powell</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 Ala. LEXIS 46; 239 So. 3d 550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creditor collecting and enforcing its own title-pawn debt was not a debt collector under the federal FDCPA; liability depended on the statutory distinction between a creditor and a debt collector.</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who owned the debt, when it was acquired, the name used in collection, the entity’s principal business, repossession records, and every collection communication.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Alabama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Alabama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Alabama mini-FCRA identified; Chapters 35 and 38 address freeze/breach</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Alabama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Alabama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13A-8-190–201</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police/FTC reports, court orders, losses, state blocking requests, and federal identity-theft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5-19-1–33;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Banking Department or CFPB complaint; preserve communications, debt ownership, account terms, balances, and collection authority.</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8-35-1–3</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Code §§ 8-38-1–12</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affected data, dates, investigation findings, AG notice,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ADTPA, §§ 8-19-1–15</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unlawful practice, consumer status, monetary damage, 15-day demand, and timely filing.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ADTPA consumer-transaction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Alabama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an Alabama complaint with the Attorney General, State Banking Department, or other regulator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Alabama AG / Banking / regulator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ADTPA demand + delivery proof + limitation chronology</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status, monetary damage, notice, opportunity to resolve, and timely filing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Alabama ADTPA written demand and limitations review when a qualifying consumer transaction and monetary damage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Alabama (AL)</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Alabama Deceptive Trade Practices Act (ADTPA) | </w:t>
      </w:r>
      <w:r w:rsidRPr="00566B6A">
        <w:rPr>
          <w:rFonts w:ascii="Courier New" w:hAnsi="Courier New" w:cs="Courier New"/>
          <w:sz w:val="22"/>
        </w:rPr>
        <w:t>Ala. Code §§ 8-19-1 through 8-19-15 | Remedies: actual damages or $100, discretionary treble damages, costs, and reasonable attorney’s fees for qualifying private claims; injunctive, restitutionary, and civil-penalty relief in public enforcement. | Authority: Alabama Attorney General / district attorneys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Alabama Consumer Credit Act (Mini-Code) | </w:t>
      </w:r>
      <w:r w:rsidRPr="00566B6A">
        <w:rPr>
          <w:rFonts w:ascii="Courier New" w:hAnsi="Courier New" w:cs="Courier New"/>
          <w:sz w:val="22"/>
        </w:rPr>
        <w:t>Ala. Code §§ 5-19-1 through 5-19-33 | Remedies: statutory limits on finance charges and creditor remedies, licensing consequences, and debtor relief as authorized; federal FDCPA remedies may apply separately to qualifying debt collectors. | Authority: Alabama State Banking Department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Alabama Consumer Credit Report Security Freeze Law | </w:t>
      </w:r>
      <w:r w:rsidRPr="00566B6A">
        <w:rPr>
          <w:rFonts w:ascii="Courier New" w:hAnsi="Courier New" w:cs="Courier New"/>
          <w:sz w:val="22"/>
        </w:rPr>
        <w:t>Ala. Code §§ 8-35-1 through 8-35-3 | Remedies: placement, temporary lifting, removal, required notice of rights, and a fine under § 8-35-2(q); additional remedies require independent authority. | Authority: courts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Alabama Data Breach Notification Act | </w:t>
      </w:r>
      <w:r w:rsidRPr="00566B6A">
        <w:rPr>
          <w:rFonts w:ascii="Courier New" w:hAnsi="Courier New" w:cs="Courier New"/>
          <w:sz w:val="22"/>
        </w:rPr>
        <w:t>Ala. Code §§ 8-38-1 through 8-38-12 | Remedies: Attorney General enforcement and civil penalties; § 8-38-9 states that the Act does not create a private action under the ADTPA. | Authority: Alabama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Alabama Consumer Identity Protection Act | </w:t>
      </w:r>
      <w:r w:rsidRPr="00566B6A">
        <w:rPr>
          <w:rFonts w:ascii="Courier New" w:hAnsi="Courier New" w:cs="Courier New"/>
          <w:sz w:val="22"/>
        </w:rPr>
        <w:t>Ala. Code §§ 13A-8-190 through 13A-8-201 | Remedies: criminal penalties, restitution, qualifying civil damages, court-order blocking of false credit information, and no-cost reissuance of qualifying identification documents.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Alabama State Banking Department Rules — consult current Alabama administrative rules governing consumer credit, licensing, records, examinations, complaints, and enforcement. Verify the exact rule citation before filing or relying on a regulation.</w:t>
      </w:r>
      <w:r w:rsidRPr="00566B6A">
        <w:rPr>
          <w:rFonts w:ascii="Courier New" w:hAnsi="Courier New" w:cs="Courier New"/>
          <w:sz w:val="22"/>
        </w:rPr>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Alabama Attorney General — Consumer Interest Division: </w:t>
      </w:r>
      <w:r w:rsidRPr="00566B6A">
        <w:rPr>
          <w:rFonts w:ascii="Courier New" w:hAnsi="Courier New" w:cs="Courier New"/>
          <w:sz w:val="22"/>
        </w:rPr>
        <w:t>consumer complaint intake and ADTPA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Alabama State Banking Department: </w:t>
      </w:r>
      <w:r w:rsidRPr="00566B6A">
        <w:rPr>
          <w:rFonts w:ascii="Courier New" w:hAnsi="Courier New" w:cs="Courier New"/>
          <w:sz w:val="22"/>
        </w:rPr>
        <w:t>complaint procedures and regulatory oversight for consumer-credit businesses and financial institutions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Other Alabama regulators: </w:t>
      </w:r>
      <w:r w:rsidRPr="00566B6A">
        <w:rPr>
          <w:rFonts w:ascii="Courier New" w:hAnsi="Courier New" w:cs="Courier New"/>
          <w:sz w:val="22"/>
        </w:rPr>
        <w:t>consumer complaint pathways for insurance, licensing, professional, or financial matters within the applicable agency’s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Alabama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Sheehan v. Bowden</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1990</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572 So. 2d 1211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pyramid-sales scheme fell within the ADTPA’s definitions of goods and trade or commerce; also treated the Act’s 15-day written-demand requirement as part of the private-action framework.</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statutory deceptive practice, consumer transaction, monetary loss, and each prospective respondent; send and preserve the written demand unless a statutory exception is documented.</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Jackson v. CIT Group/Sales Financing,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630 So. 2d 368</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summary judgment on ADTPA and Mini-Code claims where the consumers produced no substantial evidence of a misrepresentation or other actionable deceptive conduct in the financing transaction.</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statement, speaker, date, contract language, financing disclosures, reliance evidence, and proof connecting the challenged conduct to monetary damage.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Complete Cash Holdings, LLC v. Powell</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Ala.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 Ala. LEXIS 46; 239 So. 3d 550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creditor collecting and enforcing its own title-pawn debt was not a debt collector under the federal FDCPA; liability depended on the statutory distinction between a creditor and a debt collector.</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who owned the debt, when it was acquired, the name used in collection, the entity’s principal business, repossession records, and every collection communication.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TK-Authority-2026-07-AL</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AL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Alabama statutory references in this version were checked against current Alabama legislative and agency materials. Federal FCRA authorities were checked against the Office of the Law Revision Counsel U.S. Code and current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Alabama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Alabama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7288" w14:textId="77777777" w:rsidR="00655F05" w:rsidRDefault="00655F05">
      <w:pPr>
        <w:spacing w:after="0" w:line="240" w:lineRule="auto"/>
      </w:pPr>
      <w:r>
        <w:separator/>
      </w:r>
    </w:p>
  </w:endnote>
  <w:endnote w:type="continuationSeparator" w:id="0">
    <w:p w14:paraId="417707E1" w14:textId="77777777" w:rsidR="00655F05" w:rsidRDefault="0065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BA37" w14:textId="77777777" w:rsidR="00655F05" w:rsidRDefault="00655F05">
      <w:pPr>
        <w:spacing w:after="0" w:line="240" w:lineRule="auto"/>
      </w:pPr>
      <w:r>
        <w:separator/>
      </w:r>
    </w:p>
  </w:footnote>
  <w:footnote w:type="continuationSeparator" w:id="0">
    <w:p w14:paraId="05ABC9DD" w14:textId="77777777" w:rsidR="00655F05" w:rsidRDefault="0065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ALABAMA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3</cp:revision>
  <dcterms:created xsi:type="dcterms:W3CDTF">2026-07-23T18:50:00Z</dcterms:created>
  <dcterms:modified xsi:type="dcterms:W3CDTF">2026-07-23T19:16:00Z</dcterms:modified>
  <cp:category/>
</cp:coreProperties>
</file>