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Arizona (AZ)</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Arizona Consumer Fraud Act (CFA)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A.R.S. §§ 44-1521 through 44-1534</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Declares unlawful any deception, deceptive or unfair act or practice, fraud, false pretense, false promise, misrepresentation, or concealment, suppression, or omission of a material fact with intent that others rely on the omission, when connected with the sale or advertisement of merchandise, whether or not a person has actually been misled, deceived, or damaged.</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Arizona recognizes an implied private action for damages under the CFA. Actual damages may be recovered, and punitive damages may be available when the required aggravated misconduct is proved. The Attorney General may seek injunctions, restitution, disgorgement, occupational restrictions, and civil penalties of up to $10,000 for each willful violation.</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Implied under Sellinger v. Freeway Mobile Home Sales, Inc. A private claimant generally should document a false promise, misrepresentation, or other unlawful practice connected with a sale or advertisement, reliance that caused injury, and consequent and proximate damages. A one-year limitations period generally applies to a liability created by statute under A.R.S. § 12-541(5), subject to accrual and claim-specific analysis.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Arizona Attorney General — Consumer Protection and Advocacy Section; investigative authority under A.R.S. § 44-1524.</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Arizona collection-agency licensing, conduct, communication, fee, assignment, and recordkeeping requirements together with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Arizona’s Collection Agencies chapter regulates licensing and collection conduct. A.R.S. § 32-1051 prohibits qualifying licensees from collecting unauthorized fees, engaging in unfair or misleading practices, using oppressive or illegal methods, or misrepresenting the character, extent, or amount of an obligation. The federal Fair Debt Collection Practices Act (FDCPA) separately governs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A.R.S. §§ 32-1001 through 32-1057;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Arizona Department of Insurance and Financial Institutions, Financial Institutions Division; Arizona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Arizona maintains state consumer-reporting provisions at A.R.S. §§ 44-1691 through 44-1698.02, including file definitions, disclosure rules, identity-verification provisions, and security-freeze rights. Federal FCRA procedures remain the principal framework for nationwide accuracy and reinvestigation duties.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Arizona consumers may request placement, temporary lifting, or removal of a security freeze under A.R.S. § 44-1698. Protected persons and their representatives may use the procedures in A.R.S. § 44-1698.02.</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and applicable Arizona consumer-reporting provisions and may use Arizona security-freeze procedures to restrict specified releases of credit reports and scores.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Arizona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Arizona supplements identity protection through A.R.S. §§ 13-2008, 44-1698.01, 44-1698, and 44-1698.02.</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Violations of A.R.S. §§ 44-1698 and 44-1698.02 are treated as unlawful practices under A.R.S. § 44-1522 and are subject to private and Attorney General enforcement as provided by those sections; injunctive relief may be available, and the remedies are not exclusive.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A.R.S. § 13-2008 criminalizes knowingly taking, purchasing, manufacturing, recording, possessing, or using another person’s or entity’s identifying information without consent for an unlawful purpose, to cause loss, or to obtain or continue employment.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Police report and identity verification: Under A.R.S. § 13-2008(B), a peace officer in a qualifying jurisdiction must take an identity-theft report on request. A.R.S. § 44-1698.01 requires specified creditors to take reasonable identity-verification steps in covered credit transactions and provides procedural consequences in qualifying collection actions.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fraud alerts, security freezes, creditor notifications, proof-of-identity submissions, disputed-account documentation, and a chronological bureau dispute trail.</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applications, identity-verification records, bureau submissions,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A.R.S. § 18-552 requires a covered person that conducts business in Arizona and owns, maintains, or licenses specified computerized personal information to investigate a security incident and, after determining a security-system breach, provide required notices within forty-five days, subject to statutory exceptions and law-enforcement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Arizona’s security-breach provisions are codified at A.R.S. §§ 18-551 through 18-552. Arizona’s consumer-reporting and security-freeze provisions are codified at A.R.S. §§ 44-1691 through 44-1698.02.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Arizona consumer-data privacy act was identified for this module; sector-specific Arizona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incident-investigation records, affected data elements, notice content, delivery dates, law-enforcement delay requests, Attorney General and Homeland Security submissions when required,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Arizona Attorney General: Consumer Protection and Advocacy Section — consumer complaint intake, education, investigation, and CFA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Arizona Department of Insurance and Financial Institutions: Collection-agency licensing, complaint review, examination, and administrative enforcement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Arizona Department of Homeland Security: Receives notice with the Attorney General when a qualifying breach requires notice to more than one thousand individuals under A.R.S. § 18-552(B)(2).</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Arizona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44-1521–1534</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CFA — deceptive or unfair practices connected with the sale or advertisement of merchandise</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Implied private damages action; AG injunction, restitution, disgorgement, occupational restrictions, and civil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Advertisement or sale; representation or omission; reliance; causation; actual loss; limitations chronology</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32-1001–1057</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conduct, communications, fees, records, and enforcement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DIFI licensing, examination, suspension or revocation, administrative action, and criminal classification;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status; assignment; notices; call logs; account history; fee calculations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44-1691–1698.02</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reports, disclosures, identity verification, and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and AG enforcement for qualifying freeze violations; injunctive relief; state procedures supplement federal FCRA rights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disclosure; identity-verification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18-551–552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consumer notice, agency notice, and enforcement</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enforcement, restitution, and civil penalties for qualifying knowing and willful violations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Incident findings; breach notice; dates; affected data; AG/Homeland Security submissions;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13-2008; § 44-1698.01</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police reports, and creditor identity verification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police-report procedure; private and AG enforcement of qualifying credit-verification violations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proof of identity; credit application; creditor verification; bureau and creditor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Arizona AG — Consumer Protection and Advocacy Section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education, investigation, and CFA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resolution, injunction, restitution,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Arizona DIFI — Financial Institutions Division</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collection agencies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examination, complaint handling, suspension, revocation, or other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assignment documents;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Arizona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Arizona (AZ)</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published Arizona Court of Appeals case interpreting the statutory authority of licensed collection agencies and assignments for collection; it does not eliminate separate FDCPA duties or establish that every collection communication is lawful.</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Sellinger v. Freeway Mobile Home Sales,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1974</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110 Ariz. 573, 521 P.2d 1119</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an implied private cause of action under the Arizona Consumer Fraud Act for persons damaged by unlawful consumer practices. The court also explained that punitive damages may be available when the required aggravated conduct is proved.</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sale or advertisement, deceptive representation or omission, actual loss, repair or valuation evidence, and any facts supporting aggravated misconduct.</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Kuehn v. Stanley</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208 Ariz. 124, 91 P.3d 346</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CFA claimant must show a false promise or misrepresentation connected with the sale or advertisement of merchandise and consequent and proximate injury. Injury occurs through reliance, even if the reliance is unreasonable; the claim failed where the consumers did not rely on the appraisal before becoming bound.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Build a dated reliance chronology showing what was represented, when it was received, what action followed, and how that action caused measurable injury.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Cruz v. Lusk Collection Agency</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1978</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119 Ariz. 356, 580 P.2d 1210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licensed collection agencies may take valid assignments of accounts for collection and may sue in their own names; acting within the authority granted by Arizona’s collection-agency statutes was not the unauthorized practice of law.</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the collector’s license, assignment language, chain of ownership or authority, real-party-in-interest status, account records, and the legal basis for every fee or amount sought.</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Sellinger v. Freeway Mobile Home Sales,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1974</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110 Ariz. 573, 521 P.2d 1119</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an implied private cause of action under the Arizona Consumer Fraud Act for persons damaged by unlawful consumer practices. The court also explained that punitive damages may be available when the required aggravated conduct is proved.</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sale or advertisement, deceptive representation or omission, actual loss, repair or valuation evidence, and any facts supporting aggravated misconduct.</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Kuehn v. Stanley</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208 Ariz. 124, 91 P.3d 346</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CFA claimant must show a false promise or misrepresentation connected with the sale or advertisement of merchandise and consequent and proximate injury. Injury occurs through reliance, even if the reliance is unreasonable; the claim failed where the consumers did not rely on the appraisal before becoming bound.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Build a dated reliance chronology showing what was represented, when it was received, what action followed, and how that action caused measurable injury.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Cruz v. Lusk Collection Agency</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1978</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119 Ariz. 356, 580 P.2d 1210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licensed collection agencies may take valid assignments of accounts for collection and may sue in their own names; acting within the authority granted by Arizona’s collection-agency statutes was not the unauthorized practice of law.</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the collector’s license, assignment language, chain of ownership or authority, real-party-in-interest status, account records, and the legal basis for every fee or amount sought.</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Arizona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Arizona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44-1691–1698.02 address consumer reporting and freezes; federal FCRA remains primary for nationwide accuracy duties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dispute and method-of-verification record; avoid pleading parallel Arizona reporting duties without specific nonpreempted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Arizona law evaluated only for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preserve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13-2008; § 44-1698.01</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 and FTC identity-theft reports, credit applications, identity-verification failures, losses,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32-1001–1057;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Arizona DIFI or AG complaint; preserve communications, disputes, assignment documents, license information, and fee calculations.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44-1698 and 44-1698.02</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access history, change notices, lift or removal requests,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A.R.S. §§ 18-551–552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investigation findings, breach notice, affected data, dates, AG/Homeland Security notice, and regulator correspondence.</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Arizona CFA, A.R.S. §§ 44-1521–1534</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sale or advertisement, unlawful practice, reliance, causation, actual damages, and one-year limitations chronology.</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Arizona CFA deception that is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Arizona claims that attempt to impose accuracy, reinvestigation, or furnishing duties parallel to the FCRA.</w:t>
      </w:r>
      <w:r w:rsidRPr="00566B6A">
        <w:rPr>
          <w:rFonts w:ascii="Courier New" w:hAnsi="Courier New" w:cs="Courier New"/>
          <w:sz w:val="22"/>
        </w:rPr>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an Arizona complaint with the Attorney General or Department of Insurance and Financial Institutions, and provide required breach notice to the Attorney General and Arizona Department of Homeland Security where applicable;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Arizona AG / DIFI / Homeland Security complaint or notice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Arizona CFA transaction, reliance, injury, and damages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practice, sale or advertisement, reliance, causation, actual damages, and limitations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Arizona CFA claim-element and limitations review when a qualifying consumer transaction, reliance, injury, causation, and damages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assignment, and Arizona DIFI 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Arizona (AZ)</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Consumer Fraud Act (CFA) | </w:t>
      </w:r>
      <w:r w:rsidRPr="00566B6A">
        <w:rPr>
          <w:rFonts w:ascii="Courier New" w:hAnsi="Courier New" w:cs="Courier New"/>
          <w:sz w:val="22"/>
        </w:rPr>
        <w:t>A.R.S. §§ 44-1521 through 44-1534 | Remedies: implied private action for qualifying damages; punitive damages when the applicable standard is established; Attorney General injunction, restitution, disgorgement, occupational restrictions, and civil penalties. | Authority: Arizona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Collection Agencies Law | </w:t>
      </w:r>
      <w:r w:rsidRPr="00566B6A">
        <w:rPr>
          <w:rFonts w:ascii="Courier New" w:hAnsi="Courier New" w:cs="Courier New"/>
          <w:sz w:val="22"/>
        </w:rPr>
        <w:t>A.R.S. §§ 32-1001 through 32-1057 | Remedies: licensing, examination, suspension or revocation, administrative enforcement, and criminal classification for specified violations; federal FDCPA remedies may apply separately. | Authority: Arizona Department of Insurance and Financial Institutions / courts applying state and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Consumer Reporting and Security-Freeze Provisions | </w:t>
      </w:r>
      <w:r w:rsidRPr="00566B6A">
        <w:rPr>
          <w:rFonts w:ascii="Courier New" w:hAnsi="Courier New" w:cs="Courier New"/>
          <w:sz w:val="22"/>
        </w:rPr>
        <w:t>A.R.S. §§ 44-1691 through 44-1698.02 | Remedies: disclosure and security-freeze procedures; violations of §§ 44-1698 and 44-1698.02 are unlawful practices subject to private and Attorney General enforcement, including injunctive relief as authorized. | Authority: courts / Arizona Attorney General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Security Breach Notification Law | </w:t>
      </w:r>
      <w:r w:rsidRPr="00566B6A">
        <w:rPr>
          <w:rFonts w:ascii="Courier New" w:hAnsi="Courier New" w:cs="Courier New"/>
          <w:sz w:val="22"/>
        </w:rPr>
        <w:t>A.R.S. §§ 18-551 through 18-552 | Remedies: Attorney General enforcement, restitution, and civil penalties for a knowing and willful violation as authorized by § 18-552; required investigation and notice procedures. | Authority: Arizona Attorney General / Arizona Department of Homeland Security where notice is required.</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Identity-Theft and Credit Identity-Verification Provisions | </w:t>
      </w:r>
      <w:r w:rsidRPr="00566B6A">
        <w:rPr>
          <w:rFonts w:ascii="Courier New" w:hAnsi="Courier New" w:cs="Courier New"/>
          <w:sz w:val="22"/>
        </w:rPr>
        <w:t>A.R.S. § 13-2008 and § 44-1698.01 | Remedies: criminal penalties, police-report procedures, creditor identity-verification duties, private and Attorney General enforcement for qualifying § 44-1698.01 violations, and identity-restoration evidence. | Authority: law enforcement / courts / Arizona Attorney General.</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Collection Agency Rules — </w:t>
      </w:r>
      <w:r w:rsidRPr="00566B6A">
        <w:rPr>
          <w:rFonts w:ascii="Courier New" w:hAnsi="Courier New" w:cs="Courier New"/>
          <w:sz w:val="22"/>
        </w:rPr>
        <w:t>consult current Arizona Administrative Code, Title 20, Chapter 4, Article 15, including A.A.C. R20-4-1501 through R20-4-1521, for licensing, records, communications, representations, harassment, debtor contacts, and investigation duties. Verify the exact rule and current supplement before filing or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Attorney General — Consumer Protection and Advocacy Section: </w:t>
      </w:r>
      <w:r w:rsidRPr="00566B6A">
        <w:rPr>
          <w:rFonts w:ascii="Courier New" w:hAnsi="Courier New" w:cs="Courier New"/>
          <w:sz w:val="22"/>
        </w:rPr>
        <w:t>consumer complaint intake, consumer education, and CFA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Department of Insurance and Financial Institutions: </w:t>
      </w:r>
      <w:r w:rsidRPr="00566B6A">
        <w:rPr>
          <w:rFonts w:ascii="Courier New" w:hAnsi="Courier New" w:cs="Courier New"/>
          <w:sz w:val="22"/>
        </w:rPr>
        <w:t>collection-agency complaint procedures, license lookup, examinations, and regulated-entity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Arizona Department of Homeland Security: </w:t>
      </w:r>
      <w:r w:rsidRPr="00566B6A">
        <w:rPr>
          <w:rFonts w:ascii="Courier New" w:hAnsi="Courier New" w:cs="Courier New"/>
          <w:sz w:val="22"/>
        </w:rPr>
        <w:t>security-breach notification recipient where A.R.S. § 18-552 requires notice.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Arizona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Sellinger v. Freeway Mobile Home Sales,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1974</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110 Ariz. 573, 521 P.2d 1119</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an implied private cause of action under the Arizona Consumer Fraud Act for persons damaged by unlawful consumer practices. The court also explained that punitive damages may be available when the required aggravated conduct is proved.</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sale or advertisement, deceptive representation or omission, actual loss, repair or valuation evidence, and any facts supporting aggravated misconduct.</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Kuehn v. Stanley</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208 Ariz. 124, 91 P.3d 346</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CFA claimant must show a false promise or misrepresentation connected with the sale or advertisement of merchandise and consequent and proximate injury. Injury occurs through reliance, even if the reliance is unreasonable; the claim failed where the consumers did not rely on the appraisal before becoming bound.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Build a dated reliance chronology showing what was represented, when it was received, what action followed, and how that action caused measurable injury.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Cruz v. Lusk Collection Agency</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Ariz.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1978</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119 Ariz. 356, 580 P.2d 1210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licensed collection agencies may take valid assignments of accounts for collection and may sue in their own names; acting within the authority granted by Arizona’s collection-agency statutes was not the unauthorized practice of law.</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the collector’s license, assignment language, chain of ownership or authority, real-party-in-interest status, account records, and the legal basis for every fee or amount sought.</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TK-Authority-2026-07-AZ</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AZ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Arizona statutory references in this version were checked against current Arizona Legislature publications and Arizona agency materials. Federal FCRA authorities were checked against the Office of the Law Revision Counsel U.S. Code and current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Arizona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Arizona administrative rule citation by agency, title, chapter, article,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7288" w14:textId="77777777" w:rsidR="00655F05" w:rsidRDefault="00655F05">
      <w:pPr>
        <w:spacing w:after="0" w:line="240" w:lineRule="auto"/>
      </w:pPr>
      <w:r>
        <w:separator/>
      </w:r>
    </w:p>
  </w:endnote>
  <w:endnote w:type="continuationSeparator" w:id="0">
    <w:p w14:paraId="417707E1" w14:textId="77777777" w:rsidR="00655F05" w:rsidRDefault="0065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BA37" w14:textId="77777777" w:rsidR="00655F05" w:rsidRDefault="00655F05">
      <w:pPr>
        <w:spacing w:after="0" w:line="240" w:lineRule="auto"/>
      </w:pPr>
      <w:r>
        <w:separator/>
      </w:r>
    </w:p>
  </w:footnote>
  <w:footnote w:type="continuationSeparator" w:id="0">
    <w:p w14:paraId="05ABC9DD" w14:textId="77777777" w:rsidR="00655F05" w:rsidRDefault="0065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ARIZONA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3</cp:revision>
  <dcterms:created xsi:type="dcterms:W3CDTF">2026-07-23T18:50:00Z</dcterms:created>
  <dcterms:modified xsi:type="dcterms:W3CDTF">2026-07-23T19:16:00Z</dcterms:modified>
  <cp:category/>
</cp:coreProperties>
</file>