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38675C" w14:textId="77777777" w:rsidR="00756B19" w:rsidRPr="00024A47" w:rsidRDefault="00F247EE">
      <w:pPr>
        <w:jc w:val="center"/>
        <w:rPr>
          <w:rFonts w:ascii="Courier New" w:hAnsi="Courier New" w:cs="Courier New"/>
          <w:sz w:val="26"/>
          <w:szCs w:val="26"/>
        </w:rPr>
      </w:pPr>
      <w:r w:rsidRPr="00024A47">
        <w:rPr>
          <w:rFonts w:ascii="Courier New" w:hAnsi="Courier New" w:cs="Courier New"/>
          <w:b/>
          <w:sz w:val="26"/>
          <w:szCs w:val="26"/>
        </w:rPr>
        <w:t>SECTION 3A — KNOW YOUR RIGHTS AND PROTECTION UNDER YOUR RESIDING STATE</w:t>
      </w:r>
    </w:p>
    <w:p w14:paraId="7D6F8D99" w14:textId="77777777" w:rsidR="00024A47" w:rsidRPr="00024A47" w:rsidRDefault="00024A47">
      <w:pPr>
        <w:spacing w:after="140"/>
        <w:jc w:val="center"/>
        <w:rPr>
          <w:rFonts w:ascii="Courier New" w:hAnsi="Courier New" w:cs="Courier New"/>
          <w:b/>
          <w:sz w:val="22"/>
        </w:rPr>
      </w:pPr>
    </w:p>
    <w:p w14:paraId="6EE21F1E" w14:textId="0AFF410F" w:rsidR="00756B19" w:rsidRDefault="00F247EE" w:rsidP="00566B6A">
      <w:pPr>
        <w:spacing w:after="0"/>
        <w:jc w:val="center"/>
        <w:rPr>
          <w:rFonts w:ascii="Courier New" w:hAnsi="Courier New" w:cs="Courier New"/>
          <w:bCs/>
          <w:sz w:val="22"/>
        </w:rPr>
      </w:pPr>
      <w:r w:rsidRPr="00024A47">
        <w:rPr>
          <w:rFonts w:ascii="Courier New" w:hAnsi="Courier New" w:cs="Courier New"/>
          <w:bCs/>
          <w:sz w:val="22"/>
        </w:rPr>
        <w:t>GLADIC AI GENERATOR INSTRUCTIONS (STATE-AUTO-RENDER + CITED AUTHORITIES)</w:t>
      </w:r>
    </w:p>
    <w:p w14:paraId="72FA0717" w14:textId="77777777" w:rsidR="00566B6A" w:rsidRPr="00024A47" w:rsidRDefault="00566B6A" w:rsidP="00566B6A">
      <w:pPr>
        <w:spacing w:after="0"/>
        <w:jc w:val="center"/>
        <w:rPr>
          <w:rFonts w:ascii="Courier New" w:hAnsi="Courier New" w:cs="Courier New"/>
          <w:bCs/>
          <w:sz w:val="22"/>
        </w:rPr>
      </w:pPr>
    </w:p>
    <w:p w14:paraId="73D0B4E9"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Purpose: Educational, procedural self-help module complementing federal FCRA rights.</w:t>
      </w:r>
    </w:p>
    <w:p w14:paraId="28B947F5" w14:textId="2BAD2651"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 xml:space="preserve">Consumer: </w:t>
      </w:r>
      <w:r w:rsidR="006F27AD">
        <w:rPr>
          <w:rFonts w:ascii="Courier New" w:hAnsi="Courier New" w:cs="Courier New"/>
          <w:bCs/>
          <w:sz w:val="22"/>
        </w:rPr>
        <w:t>________________</w:t>
      </w:r>
    </w:p>
    <w:p w14:paraId="670A387A" w14:textId="77777777" w:rsidR="00756B19" w:rsidRPr="00566B6A" w:rsidRDefault="00F247EE" w:rsidP="00566B6A">
      <w:pPr>
        <w:pStyle w:val="Heading1"/>
        <w:spacing w:before="16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PART A — STATE RIGHTS MAP (STATUTES / ACTS / REGULATIONS / POLICIES / ORDINANCES)</w:t>
      </w:r>
    </w:p>
    <w:p w14:paraId="0E257C30"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Controlling STATE: Arkansas (AR)</w:t>
      </w:r>
    </w:p>
    <w:p w14:paraId="4F19E513"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Controlling STATE selected from current/most recent address on uploaded bureau report(s) (Experian, Equifax, TransUnion). Case-file STATE used only if report addresses were unavailable.</w:t>
      </w:r>
    </w:p>
    <w:p w14:paraId="2F75E71D"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Secondary STATEs (identity profile): Washington (WA)</w:t>
      </w:r>
    </w:p>
    <w:p w14:paraId="59301BE0"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STATE UDAP / Consumer Protection Act(s)</w:t>
      </w:r>
    </w:p>
    <w:p w14:paraId="25AA4023"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Name: Arkansas Deceptive Trade Practices Act (ADTPA)</w:t>
      </w:r>
    </w:p>
    <w:p w14:paraId="0F6B3770"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Citation: Ark. Code Ann. §§ 4-88-101 through 4-88-115</w:t>
      </w:r>
    </w:p>
    <w:p w14:paraId="1F3A8A6C"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Scope: Prohibits deceptive and unconscionable trade practices, false representations, concealment of material facts, and other unlawful practices in business, commerce, or trade, subject to statutory exemptions and definitions.</w:t>
      </w:r>
    </w:p>
    <w:p w14:paraId="23DD16B2"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Remedies: A qualifying private claimant may recover actual financial loss proximately caused by reliance on an unlawful practice, and a court may award reasonable attorney’s fees. The Attorney General may seek injunctions, restitution, civil penalties, and other relief authorized by the Act.</w:t>
      </w:r>
    </w:p>
    <w:p w14:paraId="73BC6CBF"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Private right of action: Ark. Code Ann. § 4-88-113(f) requires individual proof of actual financial loss proximately caused by reliance on a practice declared unlawful. Private class actions are generally prohibited except as expressly provided. An ADTPA civil action is subject to the specific five-year period in § 4-88-115. Contract or other claims require separate limitations analysis, including §§ 16-56-105 and 16-56-111 where applicable.</w:t>
      </w:r>
    </w:p>
    <w:p w14:paraId="1EA4E389"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AG enforcement: Arkansas Attorney General — civil enforcement under Ark. Code Ann. § 4-88-104; Consumer Protection Division under § 4-88-105.</w:t>
      </w:r>
    </w:p>
    <w:p w14:paraId="36B9B3E5"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State Debt Collection Law(s)</w:t>
      </w:r>
    </w:p>
    <w:p w14:paraId="0D3729B8"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Applicability: Collection/tradeline derogatory activity present — review Arkansas collection-agency licensing provisions, the Arkansas Fair Debt Collection Practices Act, and the federal FDCPA.</w:t>
      </w:r>
    </w:p>
    <w:p w14:paraId="18481CF0"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lastRenderedPageBreak/>
        <w:t>Overview: Arkansas Code Title 17, Chapter 24 regulates collection-agency licensing and oversight. The Arkansas Fair Debt Collection Practices Act, Ark. Code Ann. §§ 17-24-501 through 17-24-512, prohibits qualifying harassment, false or misleading representations, unfair practices, and specified collection conduct.</w:t>
      </w:r>
    </w:p>
    <w:p w14:paraId="218AD34B"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Citations: Ark. Code Ann. §§ 17-24-101 through 17-24-512, including the Arkansas Fair Debt Collection Practices Act at §§ 17-24-501 through 17-24-512; 15 U.S.C. §§ 1692 through 1692p.</w:t>
      </w:r>
    </w:p>
    <w:p w14:paraId="65D8AF3F"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Regulators: Arkansas State Board of Collection Agencies; Arkansas Attorney General; CFPB and FTC where federal jurisdiction applies.</w:t>
      </w:r>
    </w:p>
    <w:p w14:paraId="44C7FD45"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STATE Credit Reporting / Mini-FCRA Laws</w:t>
      </w:r>
    </w:p>
    <w:p w14:paraId="474C23CC"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Mini-FCRA status: Arkansas maintains the Arkansas Consumer Report Security Freeze Act at Ark. Code Ann. §§ 4-112-101 through 4-112-114. Federal FCRA procedures remain the principal framework for nationwide accuracy, disclosure, and reinvestigation duties.</w:t>
      </w:r>
    </w:p>
    <w:p w14:paraId="4F0619E2"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Security freeze: Arkansas consumers may request placement, temporary lifting, or removal of a security freeze under Ark. Code Ann. §§ 4-112-101 through 4-112-114.</w:t>
      </w:r>
    </w:p>
    <w:p w14:paraId="381BC599"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Disclosures: Consumers may obtain file disclosures under the federal FCRA and may use Arkansas security-freeze procedures to restrict specified releases of consumer reports.</w:t>
      </w:r>
    </w:p>
    <w:p w14:paraId="1C7857E6"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Corrections: Inaccurate, incomplete, or unverifiable addresses, telephone numbers, employer entries, and other personal identifiers may be disputed directly with the consumer reporting agency under 15 U.S.C. § 1681i. Following a reasonable reinvestigation, the agency must delete or modify the item as appropriate. Arkansas claims should be evaluated separately for FCRA preemption.</w:t>
      </w:r>
    </w:p>
    <w:p w14:paraId="4FD0D9D0"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Fraud alerts: Initial and extended fraud alerts arise principally under federal law; Arkansas supplements identity protection through its financial and nonfinancial identity-fraud statute and security-freeze procedures.</w:t>
      </w:r>
    </w:p>
    <w:p w14:paraId="1A40D070"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Remedies: Ark. Code Ann. § 4-112-112 provides actual damages, costs, and reasonable attorney’s fees for qualifying willful or negligent noncompliance. Section 4-112-113 also makes a violation enforceable as an unfair or deceptive practice.</w:t>
      </w:r>
    </w:p>
    <w:p w14:paraId="4389244A" w14:textId="77777777" w:rsidR="00756B19" w:rsidRPr="00566B6A" w:rsidRDefault="00F247EE" w:rsidP="00566B6A">
      <w:pPr>
        <w:pStyle w:val="Heading2"/>
        <w:rPr>
          <w:rFonts w:ascii="Courier New" w:hAnsi="Courier New" w:cs="Courier New"/>
          <w:b w:val="0"/>
          <w:color w:val="auto"/>
          <w:sz w:val="22"/>
          <w:szCs w:val="22"/>
        </w:rPr>
      </w:pPr>
      <w:r w:rsidRPr="00566B6A">
        <w:rPr>
          <w:rFonts w:ascii="Courier New" w:hAnsi="Courier New" w:cs="Courier New"/>
          <w:b w:val="0"/>
          <w:color w:val="auto"/>
          <w:sz w:val="22"/>
          <w:szCs w:val="22"/>
        </w:rPr>
        <w:t>FEDERAL FCRA — CORRECTION OR REMOVAL OF INACCURATE ADDRESS, EMPLOYMENT, AND CONTACT INFORMATION</w:t>
      </w:r>
    </w:p>
    <w:p w14:paraId="7F420F48"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Information covered by the consumer file: Under 15 U.S.C. § 1681a(g), a consumer “file” includes all information about the consumer recorded and retained by a consumer reporting agency, regardless of storage method. This permits a consumer to dispute personal identifiers retained in the file, including names, current or former addresses, telephone numbers, and past or present employer information.</w:t>
      </w:r>
    </w:p>
    <w:p w14:paraId="24514CA5"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lastRenderedPageBreak/>
        <w:t>Maximum possible accuracy: Whenever a consumer reporting agency prepares a consumer report, 15 U.S.C. § 1681e(b) requires reasonable procedures designed to assure maximum possible accuracy of the information concerning the consumer. Incorrect identifying information can support a mixed-file, identity-integrity, or report-accuracy review.</w:t>
      </w:r>
    </w:p>
    <w:p w14:paraId="5DF629C9"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File disclosure and source identification: Under 15 U.S.C. § 1681g(a)(1)–(2), the consumer may request a clear and accurate disclosure of all information in the file and the sources of that information, subject to statutory exceptions. The disclosure should be used to identify each disputed address, telephone number, employer, alias, or other personal-data entry precisely.</w:t>
      </w:r>
    </w:p>
    <w:p w14:paraId="47ADE7AD"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CRA dispute and reasonable reinvestigation: Under 15 U.S.C. § 1681i(a)(1)(A), when the consumer disputes the completeness or accuracy of any item of information in the file and notifies the consumer reporting agency, the agency must conduct a reasonable reinvestigation free of charge, determine whether the item is inaccurate, record its current status, or delete it in accordance with § 1681i(a)(5). Section 1681i(a)(4) requires the agency to review and consider all relevant information submitted by the consumer.</w:t>
      </w:r>
    </w:p>
    <w:p w14:paraId="759DA1A6"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Mandatory deletion or modification: Under 15 U.S.C. § 1681i(a)(5)(A), if the disputed address, employer, telephone number, or other item is found to be inaccurate or incomplete, or cannot be verified, the consumer reporting agency must promptly delete the item or modify it as appropriate and promptly notify the furnisher of the modification or deletion.</w:t>
      </w:r>
    </w:p>
    <w:p w14:paraId="3B4F5A49"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Results, reinsertion safeguards, and prior recipients: Under 15 U.S.C. § 1681i(a)(5)(B), deleted information generally may not be reinserted unless the furnisher certifies that it is complete and accurate, and the consumer must receive timely notice of reinsertion. Section 1681i(a)(6) requires written reinvestigation results and a revised consumer report. Under § 1681i(d), the consumer may request notice of a deletion or dispute notation to designated prior recipients, including recipients of employment reports within the preceding two years and other recipients within the preceding six months.</w:t>
      </w:r>
    </w:p>
    <w:p w14:paraId="6E477B75"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Furnisher duties after CRA notice: When an identifiable person furnished the disputed information and receives notice from the consumer reporting agency under 15 U.S.C. § 1681i(a)(2), 15 U.S.C. § 1681s-2(b)(1) generally requires investigation, review of relevant information, reporting of results, and—if the item is inaccurate, incomplete, or unverifiable—prompt modification, deletion, or permanent blocking of the item for reporting purposes.</w:t>
      </w:r>
    </w:p>
    <w:p w14:paraId="475828A5"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 xml:space="preserve">Correct route for address, telephone, and employer disputes: Regulation V, 12 C.F.R. § 1022.43(b)(1)(i)–(ii), excludes identifying information such as telephone numbers and addresses, and the identity of past or present employers, from the regulation’s mandatory direct-dispute investigation procedure for furnishers. The primary dispute should therefore be </w:t>
      </w:r>
      <w:r w:rsidRPr="00566B6A">
        <w:rPr>
          <w:rFonts w:ascii="Courier New" w:hAnsi="Courier New" w:cs="Courier New"/>
          <w:bCs/>
          <w:sz w:val="22"/>
        </w:rPr>
        <w:lastRenderedPageBreak/>
        <w:t>submitted directly to each consumer reporting agency displaying the inaccurate information. A furnisher may still have duties after receiving the dispute through the agency under 15 U.S.C. § 1681s-2(b), where applicable.</w:t>
      </w:r>
    </w:p>
    <w:p w14:paraId="1C1C2693"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Identity-theft blocking: If an address, employer, telephone number, or related entry resulted from identity theft, 15 U.S.C. § 1681c-2(a) generally requires the consumer reporting agency to block reporting of the identified information within four business days after receiving appropriate proof of identity, an identity-theft report, identification of the information, and the consumer’s statement that the information does not relate to a transaction by the consumer.</w:t>
      </w:r>
    </w:p>
    <w:p w14:paraId="7F0086B4"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Practical limitation—no automatic purge of accurate history: The FCRA does not automatically require deletion merely because a former address or employer is old or no longer current. Request modification when an accurate historical item is incorrectly labeled as current. Request deletion when the item is not the consumer’s, is materially inaccurate or incomplete, cannot be verified, reflects a mixed file, or resulted from identity theft. Preserve the report page, proof of current identity and residence, employment records, dispute confirmation, and reinvestigation results.</w:t>
      </w:r>
    </w:p>
    <w:p w14:paraId="523C9529"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Security Freeze / Fraud Alert / Identity Restoration</w:t>
      </w:r>
    </w:p>
    <w:p w14:paraId="793323C7"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Identity theft: Ark. Code Ann. § 5-37-227 criminalizes financial and nonfinancial identity fraud and authorizes restitution, including qualifying costs of correcting a victim’s credit history or rating.</w:t>
      </w:r>
    </w:p>
    <w:p w14:paraId="39F079FC"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Civil and restoration consequences: A violation of § 5-37-227 constitutes an unfair or deceptive act under the ADTPA, and a criminal restitution judgment does not bar an otherwise available civil remedy for identity-fraud damages.</w:t>
      </w:r>
    </w:p>
    <w:p w14:paraId="59849994"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Restoration: Restoration may involve fraud alerts, security freezes, creditor notifications, police or FTC identity-theft reports, credit-history correction records, and documented dispute trails.</w:t>
      </w:r>
    </w:p>
    <w:p w14:paraId="4F04A539"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Reporting: Maintain police reports, FTC IdentityTheft.gov reports, court orders, restitution records, freeze confirmations, creditor notices, bureau submissions, and agency confirmation numbers.</w:t>
      </w:r>
    </w:p>
    <w:p w14:paraId="0043491D"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Privacy + Data Security + Breach Notification</w:t>
      </w:r>
    </w:p>
    <w:p w14:paraId="30588300"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Breach notice: The Arkansas Personal Information Protection Act, Ark. Code Ann. §§ 4-110-101 through 4-110-108, requires qualifying businesses and state agencies to use reasonable security procedures and provide notice following covered breaches, subject to statutory risk, timing, and law-enforcement provisions.</w:t>
      </w:r>
    </w:p>
    <w:p w14:paraId="4EA669F2"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lastRenderedPageBreak/>
        <w:t>Article range: Arkansas’s Personal Information Protection Act is codified at Ark. Code Ann. §§ 4-110-101 through 4-110-108. Security-freeze protections are codified separately at §§ 4-112-101 through 4-112-114.</w:t>
      </w:r>
    </w:p>
    <w:p w14:paraId="613B540F"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Privacy rights: No general omnibus Arkansas consumer-data privacy act was identified for this module; sector-specific Arkansas and federal privacy rules may apply depending on the holder and type of information.</w:t>
      </w:r>
    </w:p>
    <w:p w14:paraId="3C14B9E9"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Security duties: Covered entities should preserve risk assessments, breach-investigation records, affected data elements, notice content, delivery dates, law-enforcement delay requests, Attorney General submissions when required, and remediation documentation.</w:t>
      </w:r>
    </w:p>
    <w:p w14:paraId="022D0028"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STATE AG / Regulator Authority + Policies</w:t>
      </w:r>
    </w:p>
    <w:p w14:paraId="136BB036"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Arkansas Attorney General: Consumer Protection Division / Public Protection Division — consumer complaint intake, investigation, education, and ADTPA enforcement.</w:t>
      </w:r>
    </w:p>
    <w:p w14:paraId="2553CB82"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Arkansas State Board of Collection Agencies: Licensing, complaint review, examination, and disciplinary oversight for collection agencies within its jurisdiction.</w:t>
      </w:r>
    </w:p>
    <w:p w14:paraId="1AB2F413"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Arkansas State Bank Department: Complaint pathway for Arkansas-chartered banks and other state-supervised financial institutions, as jurisdiction permits.</w:t>
      </w:r>
    </w:p>
    <w:p w14:paraId="5E4A3911"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Federal escalation: CFPB and FTC complaint pathways may complement state intake when federal consumer-finance or debt-collection law applies.</w:t>
      </w:r>
    </w:p>
    <w:p w14:paraId="607C3BE8"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Local Ordinances</w:t>
      </w:r>
    </w:p>
    <w:p w14:paraId="1913215B"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Local ordinances are not typically the controlling authority for credit-reporting disputes; none are identified as directly applicable in Arkansas without municipal verification.</w:t>
      </w:r>
    </w:p>
    <w:p w14:paraId="0E67A78E" w14:textId="77777777" w:rsidR="00566B6A" w:rsidRPr="00566B6A" w:rsidRDefault="00566B6A" w:rsidP="00566B6A">
      <w:pPr>
        <w:spacing w:after="0"/>
        <w:rPr>
          <w:rFonts w:ascii="Courier New" w:hAnsi="Courier New" w:cs="Courier New"/>
          <w:bCs/>
          <w:sz w:val="22"/>
        </w:rPr>
      </w:pPr>
    </w:p>
    <w:p w14:paraId="0DF34D05"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State Authority Table</w:t>
      </w:r>
    </w:p>
    <w:tbl>
      <w:tblPr>
        <w:tblStyle w:val="TableGrid"/>
        <w:tblW w:w="0" w:type="auto"/>
        <w:jc w:val="center"/>
        <w:tblLayout w:type="fixed"/>
        <w:tblLook w:val="04A0" w:firstRow="1" w:lastRow="0" w:firstColumn="1" w:lastColumn="0" w:noHBand="0" w:noVBand="1"/>
      </w:tblPr>
      <w:tblGrid>
        <w:gridCol w:w="1440"/>
        <w:gridCol w:w="2448"/>
        <w:gridCol w:w="3168"/>
        <w:gridCol w:w="3456"/>
        <w:gridCol w:w="3888"/>
      </w:tblGrid>
      <w:tr w:rsidR="00756B19" w:rsidRPr="00566B6A" w14:paraId="68DB9D13" w14:textId="77777777">
        <w:trPr>
          <w:cantSplit/>
          <w:tblHeader/>
          <w:jc w:val="center"/>
        </w:trPr>
        <w:tc>
          <w:tcPr>
            <w:tcW w:w="1440" w:type="dxa"/>
            <w:shd w:val="clear" w:color="auto" w:fill="D9EAF7"/>
            <w:tcMar>
              <w:top w:w="55" w:type="dxa"/>
              <w:left w:w="55" w:type="dxa"/>
              <w:bottom w:w="55" w:type="dxa"/>
              <w:right w:w="55" w:type="dxa"/>
            </w:tcMar>
            <w:vAlign w:val="center"/>
          </w:tcPr>
          <w:p w14:paraId="49DE6BB1"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Type</w:t>
            </w:r>
          </w:p>
        </w:tc>
        <w:tc>
          <w:tcPr>
            <w:tcW w:w="2448" w:type="dxa"/>
            <w:shd w:val="clear" w:color="auto" w:fill="D9EAF7"/>
            <w:tcMar>
              <w:top w:w="55" w:type="dxa"/>
              <w:left w:w="55" w:type="dxa"/>
              <w:bottom w:w="55" w:type="dxa"/>
              <w:right w:w="55" w:type="dxa"/>
            </w:tcMar>
            <w:vAlign w:val="center"/>
          </w:tcPr>
          <w:p w14:paraId="74D64BF3"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3168" w:type="dxa"/>
            <w:shd w:val="clear" w:color="auto" w:fill="D9EAF7"/>
            <w:tcMar>
              <w:top w:w="55" w:type="dxa"/>
              <w:left w:w="55" w:type="dxa"/>
              <w:bottom w:w="55" w:type="dxa"/>
              <w:right w:w="55" w:type="dxa"/>
            </w:tcMar>
            <w:vAlign w:val="center"/>
          </w:tcPr>
          <w:p w14:paraId="5C2CA3A2"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What it Covers</w:t>
            </w:r>
          </w:p>
        </w:tc>
        <w:tc>
          <w:tcPr>
            <w:tcW w:w="3456" w:type="dxa"/>
            <w:shd w:val="clear" w:color="auto" w:fill="D9EAF7"/>
            <w:tcMar>
              <w:top w:w="55" w:type="dxa"/>
              <w:left w:w="55" w:type="dxa"/>
              <w:bottom w:w="55" w:type="dxa"/>
              <w:right w:w="55" w:type="dxa"/>
            </w:tcMar>
            <w:vAlign w:val="center"/>
          </w:tcPr>
          <w:p w14:paraId="378E6F85"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Remedies / Relief</w:t>
            </w:r>
          </w:p>
        </w:tc>
        <w:tc>
          <w:tcPr>
            <w:tcW w:w="3888" w:type="dxa"/>
            <w:shd w:val="clear" w:color="auto" w:fill="D9EAF7"/>
            <w:tcMar>
              <w:top w:w="55" w:type="dxa"/>
              <w:left w:w="55" w:type="dxa"/>
              <w:bottom w:w="55" w:type="dxa"/>
              <w:right w:w="55" w:type="dxa"/>
            </w:tcMar>
            <w:vAlign w:val="center"/>
          </w:tcPr>
          <w:p w14:paraId="6E5909D8"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How it Supports Record-Building</w:t>
            </w:r>
          </w:p>
        </w:tc>
      </w:tr>
      <w:tr w:rsidR="00756B19" w:rsidRPr="00566B6A" w14:paraId="6FE1F95B" w14:textId="77777777">
        <w:trPr>
          <w:cantSplit/>
          <w:jc w:val="center"/>
        </w:trPr>
        <w:tc>
          <w:tcPr>
            <w:tcW w:w="1440" w:type="dxa"/>
            <w:tcMar>
              <w:top w:w="50" w:type="dxa"/>
              <w:left w:w="55" w:type="dxa"/>
              <w:bottom w:w="50" w:type="dxa"/>
              <w:right w:w="55" w:type="dxa"/>
            </w:tcMar>
          </w:tcPr>
          <w:p w14:paraId="4C25DA9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Statute/Act</w:t>
            </w:r>
          </w:p>
        </w:tc>
        <w:tc>
          <w:tcPr>
            <w:tcW w:w="2448" w:type="dxa"/>
            <w:tcMar>
              <w:top w:w="50" w:type="dxa"/>
              <w:left w:w="55" w:type="dxa"/>
              <w:bottom w:w="50" w:type="dxa"/>
              <w:right w:w="55" w:type="dxa"/>
            </w:tcMar>
          </w:tcPr>
          <w:p w14:paraId="6340846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Ark. Code Ann. §§ 4-88-101–115</w:t>
            </w:r>
          </w:p>
        </w:tc>
        <w:tc>
          <w:tcPr>
            <w:tcW w:w="3168" w:type="dxa"/>
            <w:tcMar>
              <w:top w:w="50" w:type="dxa"/>
              <w:left w:w="55" w:type="dxa"/>
              <w:bottom w:w="50" w:type="dxa"/>
              <w:right w:w="55" w:type="dxa"/>
            </w:tcMar>
          </w:tcPr>
          <w:p w14:paraId="3D24A60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ADTPA — deceptive and unconscionable business or consumer practices</w:t>
            </w:r>
          </w:p>
        </w:tc>
        <w:tc>
          <w:tcPr>
            <w:tcW w:w="3456" w:type="dxa"/>
            <w:tcMar>
              <w:top w:w="50" w:type="dxa"/>
              <w:left w:w="55" w:type="dxa"/>
              <w:bottom w:w="50" w:type="dxa"/>
              <w:right w:w="55" w:type="dxa"/>
            </w:tcMar>
          </w:tcPr>
          <w:p w14:paraId="420169D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Actual financial loss and possible fees for qualifying private claims; AG injunction, restitution, and civil penalties</w:t>
            </w:r>
          </w:p>
        </w:tc>
        <w:tc>
          <w:tcPr>
            <w:tcW w:w="3888" w:type="dxa"/>
            <w:tcMar>
              <w:top w:w="50" w:type="dxa"/>
              <w:left w:w="55" w:type="dxa"/>
              <w:bottom w:w="50" w:type="dxa"/>
              <w:right w:w="55" w:type="dxa"/>
            </w:tcMar>
          </w:tcPr>
          <w:p w14:paraId="4B46A2D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Transaction proof; unlawful practice; reliance; causation; actual financial loss; five-year chronology</w:t>
            </w:r>
          </w:p>
        </w:tc>
      </w:tr>
      <w:tr w:rsidR="00756B19" w:rsidRPr="00566B6A" w14:paraId="2B74E5E6" w14:textId="77777777">
        <w:trPr>
          <w:cantSplit/>
          <w:jc w:val="center"/>
        </w:trPr>
        <w:tc>
          <w:tcPr>
            <w:tcW w:w="1440" w:type="dxa"/>
            <w:shd w:val="clear" w:color="auto" w:fill="F7FAFC"/>
            <w:tcMar>
              <w:top w:w="50" w:type="dxa"/>
              <w:left w:w="55" w:type="dxa"/>
              <w:bottom w:w="50" w:type="dxa"/>
              <w:right w:w="55" w:type="dxa"/>
            </w:tcMar>
          </w:tcPr>
          <w:p w14:paraId="4B27FD7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lastRenderedPageBreak/>
              <w:t>Statute/Act</w:t>
            </w:r>
          </w:p>
        </w:tc>
        <w:tc>
          <w:tcPr>
            <w:tcW w:w="2448" w:type="dxa"/>
            <w:shd w:val="clear" w:color="auto" w:fill="F7FAFC"/>
            <w:tcMar>
              <w:top w:w="50" w:type="dxa"/>
              <w:left w:w="55" w:type="dxa"/>
              <w:bottom w:w="50" w:type="dxa"/>
              <w:right w:w="55" w:type="dxa"/>
            </w:tcMar>
          </w:tcPr>
          <w:p w14:paraId="5832826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Ark. Code Ann. §§ 17-24-101–512</w:t>
            </w:r>
          </w:p>
        </w:tc>
        <w:tc>
          <w:tcPr>
            <w:tcW w:w="3168" w:type="dxa"/>
            <w:shd w:val="clear" w:color="auto" w:fill="F7FAFC"/>
            <w:tcMar>
              <w:top w:w="50" w:type="dxa"/>
              <w:left w:w="55" w:type="dxa"/>
              <w:bottom w:w="50" w:type="dxa"/>
              <w:right w:w="55" w:type="dxa"/>
            </w:tcMar>
          </w:tcPr>
          <w:p w14:paraId="24C0DB7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Collection-agency licensing and Arkansas Fair Debt Collection Practices Act conduct rules</w:t>
            </w:r>
          </w:p>
        </w:tc>
        <w:tc>
          <w:tcPr>
            <w:tcW w:w="3456" w:type="dxa"/>
            <w:shd w:val="clear" w:color="auto" w:fill="F7FAFC"/>
            <w:tcMar>
              <w:top w:w="50" w:type="dxa"/>
              <w:left w:w="55" w:type="dxa"/>
              <w:bottom w:w="50" w:type="dxa"/>
              <w:right w:w="55" w:type="dxa"/>
            </w:tcMar>
          </w:tcPr>
          <w:p w14:paraId="15B14E3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Board licensing and discipline; actual and additional damages, costs, and fees for qualifying claims; one-year AFDCPA period</w:t>
            </w:r>
          </w:p>
        </w:tc>
        <w:tc>
          <w:tcPr>
            <w:tcW w:w="3888" w:type="dxa"/>
            <w:shd w:val="clear" w:color="auto" w:fill="F7FAFC"/>
            <w:tcMar>
              <w:top w:w="50" w:type="dxa"/>
              <w:left w:w="55" w:type="dxa"/>
              <w:bottom w:w="50" w:type="dxa"/>
              <w:right w:w="55" w:type="dxa"/>
            </w:tcMar>
          </w:tcPr>
          <w:p w14:paraId="4E12348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Collector identity; license; assignment; letters; call logs; dispute history; balance and fee calculations</w:t>
            </w:r>
          </w:p>
        </w:tc>
      </w:tr>
      <w:tr w:rsidR="00756B19" w:rsidRPr="00566B6A" w14:paraId="2E7F3F76" w14:textId="77777777">
        <w:trPr>
          <w:cantSplit/>
          <w:jc w:val="center"/>
        </w:trPr>
        <w:tc>
          <w:tcPr>
            <w:tcW w:w="1440" w:type="dxa"/>
            <w:tcMar>
              <w:top w:w="50" w:type="dxa"/>
              <w:left w:w="55" w:type="dxa"/>
              <w:bottom w:w="50" w:type="dxa"/>
              <w:right w:w="55" w:type="dxa"/>
            </w:tcMar>
          </w:tcPr>
          <w:p w14:paraId="3EA4626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Statute/Act</w:t>
            </w:r>
          </w:p>
        </w:tc>
        <w:tc>
          <w:tcPr>
            <w:tcW w:w="2448" w:type="dxa"/>
            <w:tcMar>
              <w:top w:w="50" w:type="dxa"/>
              <w:left w:w="55" w:type="dxa"/>
              <w:bottom w:w="50" w:type="dxa"/>
              <w:right w:w="55" w:type="dxa"/>
            </w:tcMar>
          </w:tcPr>
          <w:p w14:paraId="435FC59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Ark. Code Ann. §§ 4-112-101–114</w:t>
            </w:r>
          </w:p>
        </w:tc>
        <w:tc>
          <w:tcPr>
            <w:tcW w:w="3168" w:type="dxa"/>
            <w:tcMar>
              <w:top w:w="50" w:type="dxa"/>
              <w:left w:w="55" w:type="dxa"/>
              <w:bottom w:w="50" w:type="dxa"/>
              <w:right w:w="55" w:type="dxa"/>
            </w:tcMar>
          </w:tcPr>
          <w:p w14:paraId="4C2BDFD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Security freezes and prohibited release or misuse of frozen consumer reports</w:t>
            </w:r>
          </w:p>
        </w:tc>
        <w:tc>
          <w:tcPr>
            <w:tcW w:w="3456" w:type="dxa"/>
            <w:tcMar>
              <w:top w:w="50" w:type="dxa"/>
              <w:left w:w="55" w:type="dxa"/>
              <w:bottom w:w="50" w:type="dxa"/>
              <w:right w:w="55" w:type="dxa"/>
            </w:tcMar>
          </w:tcPr>
          <w:p w14:paraId="4A37E8F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Actual damages, costs, and fees for willful or negligent noncompliance; AG remedies under ADTPA</w:t>
            </w:r>
          </w:p>
        </w:tc>
        <w:tc>
          <w:tcPr>
            <w:tcW w:w="3888" w:type="dxa"/>
            <w:tcMar>
              <w:top w:w="50" w:type="dxa"/>
              <w:left w:w="55" w:type="dxa"/>
              <w:bottom w:w="50" w:type="dxa"/>
              <w:right w:w="55" w:type="dxa"/>
            </w:tcMar>
          </w:tcPr>
          <w:p w14:paraId="5DF22B9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Freeze confirmation; lift or removal request; access record; notice; damages and correction trail</w:t>
            </w:r>
          </w:p>
        </w:tc>
      </w:tr>
      <w:tr w:rsidR="00756B19" w:rsidRPr="00566B6A" w14:paraId="7D717879" w14:textId="77777777">
        <w:trPr>
          <w:cantSplit/>
          <w:jc w:val="center"/>
        </w:trPr>
        <w:tc>
          <w:tcPr>
            <w:tcW w:w="1440" w:type="dxa"/>
            <w:shd w:val="clear" w:color="auto" w:fill="F7FAFC"/>
            <w:tcMar>
              <w:top w:w="50" w:type="dxa"/>
              <w:left w:w="55" w:type="dxa"/>
              <w:bottom w:w="50" w:type="dxa"/>
              <w:right w:w="55" w:type="dxa"/>
            </w:tcMar>
          </w:tcPr>
          <w:p w14:paraId="62B2522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Statute/Act</w:t>
            </w:r>
          </w:p>
        </w:tc>
        <w:tc>
          <w:tcPr>
            <w:tcW w:w="2448" w:type="dxa"/>
            <w:shd w:val="clear" w:color="auto" w:fill="F7FAFC"/>
            <w:tcMar>
              <w:top w:w="50" w:type="dxa"/>
              <w:left w:w="55" w:type="dxa"/>
              <w:bottom w:w="50" w:type="dxa"/>
              <w:right w:w="55" w:type="dxa"/>
            </w:tcMar>
          </w:tcPr>
          <w:p w14:paraId="6E069C8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Ark. Code Ann. §§ 4-110-101–108</w:t>
            </w:r>
          </w:p>
        </w:tc>
        <w:tc>
          <w:tcPr>
            <w:tcW w:w="3168" w:type="dxa"/>
            <w:shd w:val="clear" w:color="auto" w:fill="F7FAFC"/>
            <w:tcMar>
              <w:top w:w="50" w:type="dxa"/>
              <w:left w:w="55" w:type="dxa"/>
              <w:bottom w:w="50" w:type="dxa"/>
              <w:right w:w="55" w:type="dxa"/>
            </w:tcMar>
          </w:tcPr>
          <w:p w14:paraId="0EAFB24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Reasonable data security, breach investigation, and consumer or regulator notice</w:t>
            </w:r>
          </w:p>
        </w:tc>
        <w:tc>
          <w:tcPr>
            <w:tcW w:w="3456" w:type="dxa"/>
            <w:shd w:val="clear" w:color="auto" w:fill="F7FAFC"/>
            <w:tcMar>
              <w:top w:w="50" w:type="dxa"/>
              <w:left w:w="55" w:type="dxa"/>
              <w:bottom w:w="50" w:type="dxa"/>
              <w:right w:w="55" w:type="dxa"/>
            </w:tcMar>
          </w:tcPr>
          <w:p w14:paraId="0556E8F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Attorney General enforcement under the ADTPA and statutory compliance measures</w:t>
            </w:r>
          </w:p>
        </w:tc>
        <w:tc>
          <w:tcPr>
            <w:tcW w:w="3888" w:type="dxa"/>
            <w:shd w:val="clear" w:color="auto" w:fill="F7FAFC"/>
            <w:tcMar>
              <w:top w:w="50" w:type="dxa"/>
              <w:left w:w="55" w:type="dxa"/>
              <w:bottom w:w="50" w:type="dxa"/>
              <w:right w:w="55" w:type="dxa"/>
            </w:tcMar>
          </w:tcPr>
          <w:p w14:paraId="72352FA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Risk assessment; breach notice; dates; affected data; AG notice; investigation and remediation records</w:t>
            </w:r>
          </w:p>
        </w:tc>
      </w:tr>
      <w:tr w:rsidR="00756B19" w:rsidRPr="00566B6A" w14:paraId="78460C98" w14:textId="77777777">
        <w:trPr>
          <w:cantSplit/>
          <w:jc w:val="center"/>
        </w:trPr>
        <w:tc>
          <w:tcPr>
            <w:tcW w:w="1440" w:type="dxa"/>
            <w:tcMar>
              <w:top w:w="50" w:type="dxa"/>
              <w:left w:w="55" w:type="dxa"/>
              <w:bottom w:w="50" w:type="dxa"/>
              <w:right w:w="55" w:type="dxa"/>
            </w:tcMar>
          </w:tcPr>
          <w:p w14:paraId="0527A85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Statute/Act</w:t>
            </w:r>
          </w:p>
        </w:tc>
        <w:tc>
          <w:tcPr>
            <w:tcW w:w="2448" w:type="dxa"/>
            <w:tcMar>
              <w:top w:w="50" w:type="dxa"/>
              <w:left w:w="55" w:type="dxa"/>
              <w:bottom w:w="50" w:type="dxa"/>
              <w:right w:w="55" w:type="dxa"/>
            </w:tcMar>
          </w:tcPr>
          <w:p w14:paraId="5D71676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Ark. Code Ann. § 5-37-227</w:t>
            </w:r>
          </w:p>
        </w:tc>
        <w:tc>
          <w:tcPr>
            <w:tcW w:w="3168" w:type="dxa"/>
            <w:tcMar>
              <w:top w:w="50" w:type="dxa"/>
              <w:left w:w="55" w:type="dxa"/>
              <w:bottom w:w="50" w:type="dxa"/>
              <w:right w:w="55" w:type="dxa"/>
            </w:tcMar>
          </w:tcPr>
          <w:p w14:paraId="629969F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Financial and nonfinancial identity fraud; restitution; civil-remedy preservation</w:t>
            </w:r>
          </w:p>
        </w:tc>
        <w:tc>
          <w:tcPr>
            <w:tcW w:w="3456" w:type="dxa"/>
            <w:tcMar>
              <w:top w:w="50" w:type="dxa"/>
              <w:left w:w="55" w:type="dxa"/>
              <w:bottom w:w="50" w:type="dxa"/>
              <w:right w:w="55" w:type="dxa"/>
            </w:tcMar>
          </w:tcPr>
          <w:p w14:paraId="3282C00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Criminal penalties, credit-restoration restitution, ADTPA remedies, and available civil damages</w:t>
            </w:r>
          </w:p>
        </w:tc>
        <w:tc>
          <w:tcPr>
            <w:tcW w:w="3888" w:type="dxa"/>
            <w:tcMar>
              <w:top w:w="50" w:type="dxa"/>
              <w:left w:w="55" w:type="dxa"/>
              <w:bottom w:w="50" w:type="dxa"/>
              <w:right w:w="55" w:type="dxa"/>
            </w:tcMar>
          </w:tcPr>
          <w:p w14:paraId="5D0DDF8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Police/FTC report; identity affidavit; credit-correction costs; creditor and bureau notices; court order</w:t>
            </w:r>
          </w:p>
        </w:tc>
      </w:tr>
      <w:tr w:rsidR="00756B19" w:rsidRPr="00566B6A" w14:paraId="4D1F75C6" w14:textId="77777777">
        <w:trPr>
          <w:cantSplit/>
          <w:jc w:val="center"/>
        </w:trPr>
        <w:tc>
          <w:tcPr>
            <w:tcW w:w="1440" w:type="dxa"/>
            <w:shd w:val="clear" w:color="auto" w:fill="F7FAFC"/>
            <w:tcMar>
              <w:top w:w="50" w:type="dxa"/>
              <w:left w:w="55" w:type="dxa"/>
              <w:bottom w:w="50" w:type="dxa"/>
              <w:right w:w="55" w:type="dxa"/>
            </w:tcMar>
          </w:tcPr>
          <w:p w14:paraId="325E246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Policy</w:t>
            </w:r>
          </w:p>
        </w:tc>
        <w:tc>
          <w:tcPr>
            <w:tcW w:w="2448" w:type="dxa"/>
            <w:shd w:val="clear" w:color="auto" w:fill="F7FAFC"/>
            <w:tcMar>
              <w:top w:w="50" w:type="dxa"/>
              <w:left w:w="55" w:type="dxa"/>
              <w:bottom w:w="50" w:type="dxa"/>
              <w:right w:w="55" w:type="dxa"/>
            </w:tcMar>
          </w:tcPr>
          <w:p w14:paraId="60A7163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Arkansas AG — Consumer Protection Division</w:t>
            </w:r>
          </w:p>
        </w:tc>
        <w:tc>
          <w:tcPr>
            <w:tcW w:w="3168" w:type="dxa"/>
            <w:shd w:val="clear" w:color="auto" w:fill="F7FAFC"/>
            <w:tcMar>
              <w:top w:w="50" w:type="dxa"/>
              <w:left w:w="55" w:type="dxa"/>
              <w:bottom w:w="50" w:type="dxa"/>
              <w:right w:w="55" w:type="dxa"/>
            </w:tcMar>
          </w:tcPr>
          <w:p w14:paraId="050C794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Consumer complaint intake, investigation, education, and ADTPA enforcement</w:t>
            </w:r>
          </w:p>
        </w:tc>
        <w:tc>
          <w:tcPr>
            <w:tcW w:w="3456" w:type="dxa"/>
            <w:shd w:val="clear" w:color="auto" w:fill="F7FAFC"/>
            <w:tcMar>
              <w:top w:w="50" w:type="dxa"/>
              <w:left w:w="55" w:type="dxa"/>
              <w:bottom w:w="50" w:type="dxa"/>
              <w:right w:w="55" w:type="dxa"/>
            </w:tcMar>
          </w:tcPr>
          <w:p w14:paraId="4A945F5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Review, investigation, voluntary compliance, injunction, restitution, or civil enforcement as authorized</w:t>
            </w:r>
          </w:p>
        </w:tc>
        <w:tc>
          <w:tcPr>
            <w:tcW w:w="3888" w:type="dxa"/>
            <w:shd w:val="clear" w:color="auto" w:fill="F7FAFC"/>
            <w:tcMar>
              <w:top w:w="50" w:type="dxa"/>
              <w:left w:w="55" w:type="dxa"/>
              <w:bottom w:w="50" w:type="dxa"/>
              <w:right w:w="55" w:type="dxa"/>
            </w:tcMar>
          </w:tcPr>
          <w:p w14:paraId="391A9DA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Complaint ID; attachments; business response; agency correspondence; chronology</w:t>
            </w:r>
          </w:p>
        </w:tc>
      </w:tr>
      <w:tr w:rsidR="00756B19" w:rsidRPr="00566B6A" w14:paraId="41D89716" w14:textId="77777777">
        <w:trPr>
          <w:cantSplit/>
          <w:jc w:val="center"/>
        </w:trPr>
        <w:tc>
          <w:tcPr>
            <w:tcW w:w="1440" w:type="dxa"/>
            <w:tcMar>
              <w:top w:w="50" w:type="dxa"/>
              <w:left w:w="55" w:type="dxa"/>
              <w:bottom w:w="50" w:type="dxa"/>
              <w:right w:w="55" w:type="dxa"/>
            </w:tcMar>
          </w:tcPr>
          <w:p w14:paraId="4AF5FFC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Regulator</w:t>
            </w:r>
          </w:p>
        </w:tc>
        <w:tc>
          <w:tcPr>
            <w:tcW w:w="2448" w:type="dxa"/>
            <w:tcMar>
              <w:top w:w="50" w:type="dxa"/>
              <w:left w:w="55" w:type="dxa"/>
              <w:bottom w:w="50" w:type="dxa"/>
              <w:right w:w="55" w:type="dxa"/>
            </w:tcMar>
          </w:tcPr>
          <w:p w14:paraId="5A63314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Arkansas State Board of Collection Agencies / State Bank Department</w:t>
            </w:r>
          </w:p>
        </w:tc>
        <w:tc>
          <w:tcPr>
            <w:tcW w:w="3168" w:type="dxa"/>
            <w:tcMar>
              <w:top w:w="50" w:type="dxa"/>
              <w:left w:w="55" w:type="dxa"/>
              <w:bottom w:w="50" w:type="dxa"/>
              <w:right w:w="55" w:type="dxa"/>
            </w:tcMar>
          </w:tcPr>
          <w:p w14:paraId="2A65D6B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Licensed collectors and state-supervised financial entities</w:t>
            </w:r>
          </w:p>
        </w:tc>
        <w:tc>
          <w:tcPr>
            <w:tcW w:w="3456" w:type="dxa"/>
            <w:tcMar>
              <w:top w:w="50" w:type="dxa"/>
              <w:left w:w="55" w:type="dxa"/>
              <w:bottom w:w="50" w:type="dxa"/>
              <w:right w:w="55" w:type="dxa"/>
            </w:tcMar>
          </w:tcPr>
          <w:p w14:paraId="1FEB229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Jurisdictional review, examination, licensing, discipline, or other administrative action where authorized</w:t>
            </w:r>
          </w:p>
        </w:tc>
        <w:tc>
          <w:tcPr>
            <w:tcW w:w="3888" w:type="dxa"/>
            <w:tcMar>
              <w:top w:w="50" w:type="dxa"/>
              <w:left w:w="55" w:type="dxa"/>
              <w:bottom w:w="50" w:type="dxa"/>
              <w:right w:w="55" w:type="dxa"/>
            </w:tcMar>
          </w:tcPr>
          <w:p w14:paraId="1A9ADB3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License lookup; complaint file; assignment evidence; regulator correspondence</w:t>
            </w:r>
          </w:p>
        </w:tc>
      </w:tr>
      <w:tr w:rsidR="00756B19" w:rsidRPr="00566B6A" w14:paraId="2D9A5252" w14:textId="77777777">
        <w:trPr>
          <w:cantSplit/>
          <w:jc w:val="center"/>
        </w:trPr>
        <w:tc>
          <w:tcPr>
            <w:tcW w:w="1440" w:type="dxa"/>
            <w:shd w:val="clear" w:color="auto" w:fill="F7FAFC"/>
            <w:tcMar>
              <w:top w:w="50" w:type="dxa"/>
              <w:left w:w="55" w:type="dxa"/>
              <w:bottom w:w="50" w:type="dxa"/>
              <w:right w:w="55" w:type="dxa"/>
            </w:tcMar>
          </w:tcPr>
          <w:p w14:paraId="2D28F31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lastRenderedPageBreak/>
              <w:t>Ordinance</w:t>
            </w:r>
          </w:p>
        </w:tc>
        <w:tc>
          <w:tcPr>
            <w:tcW w:w="2448" w:type="dxa"/>
            <w:shd w:val="clear" w:color="auto" w:fill="F7FAFC"/>
            <w:tcMar>
              <w:top w:w="50" w:type="dxa"/>
              <w:left w:w="55" w:type="dxa"/>
              <w:bottom w:w="50" w:type="dxa"/>
              <w:right w:w="55" w:type="dxa"/>
            </w:tcMar>
          </w:tcPr>
          <w:p w14:paraId="1703B4B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Verification Required</w:t>
            </w:r>
          </w:p>
        </w:tc>
        <w:tc>
          <w:tcPr>
            <w:tcW w:w="3168" w:type="dxa"/>
            <w:shd w:val="clear" w:color="auto" w:fill="F7FAFC"/>
            <w:tcMar>
              <w:top w:w="50" w:type="dxa"/>
              <w:left w:w="55" w:type="dxa"/>
              <w:bottom w:w="50" w:type="dxa"/>
              <w:right w:w="55" w:type="dxa"/>
            </w:tcMar>
          </w:tcPr>
          <w:p w14:paraId="0438C32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Municipal consumer-affairs codes</w:t>
            </w:r>
          </w:p>
        </w:tc>
        <w:tc>
          <w:tcPr>
            <w:tcW w:w="3456" w:type="dxa"/>
            <w:shd w:val="clear" w:color="auto" w:fill="F7FAFC"/>
            <w:tcMar>
              <w:top w:w="50" w:type="dxa"/>
              <w:left w:w="55" w:type="dxa"/>
              <w:bottom w:w="50" w:type="dxa"/>
              <w:right w:w="55" w:type="dxa"/>
            </w:tcMar>
          </w:tcPr>
          <w:p w14:paraId="10A252A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Verification Required</w:t>
            </w:r>
          </w:p>
        </w:tc>
        <w:tc>
          <w:tcPr>
            <w:tcW w:w="3888" w:type="dxa"/>
            <w:shd w:val="clear" w:color="auto" w:fill="F7FAFC"/>
            <w:tcMar>
              <w:top w:w="50" w:type="dxa"/>
              <w:left w:w="55" w:type="dxa"/>
              <w:bottom w:w="50" w:type="dxa"/>
              <w:right w:w="55" w:type="dxa"/>
            </w:tcMar>
          </w:tcPr>
          <w:p w14:paraId="3E49BB1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Secondary to Arkansas and federal frameworks</w:t>
            </w:r>
          </w:p>
        </w:tc>
      </w:tr>
      <w:tr w:rsidR="00756B19" w:rsidRPr="00566B6A" w14:paraId="11219014" w14:textId="77777777">
        <w:trPr>
          <w:jc w:val="center"/>
        </w:trPr>
        <w:tc>
          <w:tcPr>
            <w:tcW w:w="1440" w:type="dxa"/>
          </w:tcPr>
          <w:p w14:paraId="1454D0C9" w14:textId="77777777" w:rsidR="00756B19" w:rsidRPr="00566B6A" w:rsidRDefault="00F247EE">
            <w:pPr>
              <w:rPr>
                <w:rFonts w:ascii="Courier New" w:hAnsi="Courier New" w:cs="Courier New"/>
                <w:sz w:val="22"/>
              </w:rPr>
            </w:pPr>
            <w:r w:rsidRPr="00566B6A">
              <w:rPr>
                <w:rFonts w:ascii="Courier New" w:hAnsi="Courier New" w:cs="Courier New"/>
                <w:sz w:val="22"/>
              </w:rPr>
              <w:t>Federal Statute</w:t>
            </w:r>
          </w:p>
        </w:tc>
        <w:tc>
          <w:tcPr>
            <w:tcW w:w="2448" w:type="dxa"/>
          </w:tcPr>
          <w:p w14:paraId="14DA5CF4" w14:textId="77777777" w:rsidR="00756B19" w:rsidRPr="00566B6A" w:rsidRDefault="00F247EE">
            <w:pPr>
              <w:rPr>
                <w:rFonts w:ascii="Courier New" w:hAnsi="Courier New" w:cs="Courier New"/>
                <w:sz w:val="22"/>
              </w:rPr>
            </w:pPr>
            <w:r w:rsidRPr="00566B6A">
              <w:rPr>
                <w:rFonts w:ascii="Courier New" w:hAnsi="Courier New" w:cs="Courier New"/>
                <w:sz w:val="22"/>
              </w:rPr>
              <w:t>15 U.S.C. §§ 1681a(g), 1681e(b), 1681g(a), 1681i(a), (d)</w:t>
            </w:r>
          </w:p>
        </w:tc>
        <w:tc>
          <w:tcPr>
            <w:tcW w:w="3168" w:type="dxa"/>
          </w:tcPr>
          <w:p w14:paraId="182CBD62" w14:textId="77777777" w:rsidR="00756B19" w:rsidRPr="00566B6A" w:rsidRDefault="00F247EE">
            <w:pPr>
              <w:rPr>
                <w:rFonts w:ascii="Courier New" w:hAnsi="Courier New" w:cs="Courier New"/>
                <w:sz w:val="22"/>
              </w:rPr>
            </w:pPr>
            <w:r w:rsidRPr="00566B6A">
              <w:rPr>
                <w:rFonts w:ascii="Courier New" w:hAnsi="Courier New" w:cs="Courier New"/>
                <w:sz w:val="22"/>
              </w:rPr>
              <w:t>Personal identifiers and employer information in the consumer file; disclosure, accuracy, reinvestigation, correction, and deletion</w:t>
            </w:r>
          </w:p>
        </w:tc>
        <w:tc>
          <w:tcPr>
            <w:tcW w:w="3456" w:type="dxa"/>
          </w:tcPr>
          <w:p w14:paraId="076A09AF" w14:textId="77777777" w:rsidR="00756B19" w:rsidRPr="00566B6A" w:rsidRDefault="00F247EE">
            <w:pPr>
              <w:rPr>
                <w:rFonts w:ascii="Courier New" w:hAnsi="Courier New" w:cs="Courier New"/>
                <w:sz w:val="22"/>
              </w:rPr>
            </w:pPr>
            <w:r w:rsidRPr="00566B6A">
              <w:rPr>
                <w:rFonts w:ascii="Courier New" w:hAnsi="Courier New" w:cs="Courier New"/>
                <w:sz w:val="22"/>
              </w:rPr>
              <w:t>Free reasonable reinvestigation; revised report; prompt deletion or modification of inaccurate, incomplete, or unverifiable information; reinsertion safeguards</w:t>
            </w:r>
          </w:p>
        </w:tc>
        <w:tc>
          <w:tcPr>
            <w:tcW w:w="3888" w:type="dxa"/>
          </w:tcPr>
          <w:p w14:paraId="0A023114" w14:textId="77777777" w:rsidR="00756B19" w:rsidRPr="00566B6A" w:rsidRDefault="00F247EE">
            <w:pPr>
              <w:rPr>
                <w:rFonts w:ascii="Courier New" w:hAnsi="Courier New" w:cs="Courier New"/>
                <w:sz w:val="22"/>
              </w:rPr>
            </w:pPr>
            <w:r w:rsidRPr="00566B6A">
              <w:rPr>
                <w:rFonts w:ascii="Courier New" w:hAnsi="Courier New" w:cs="Courier New"/>
                <w:sz w:val="22"/>
              </w:rPr>
              <w:t>Credit-report page; proof of identity/current address; employer records; source request; dispute confirmation; revised report</w:t>
            </w:r>
          </w:p>
        </w:tc>
      </w:tr>
      <w:tr w:rsidR="00756B19" w:rsidRPr="00566B6A" w14:paraId="01D15742" w14:textId="77777777">
        <w:trPr>
          <w:jc w:val="center"/>
        </w:trPr>
        <w:tc>
          <w:tcPr>
            <w:tcW w:w="1440" w:type="dxa"/>
          </w:tcPr>
          <w:p w14:paraId="4FA11180" w14:textId="77777777" w:rsidR="00756B19" w:rsidRPr="00566B6A" w:rsidRDefault="00F247EE">
            <w:pPr>
              <w:rPr>
                <w:rFonts w:ascii="Courier New" w:hAnsi="Courier New" w:cs="Courier New"/>
                <w:sz w:val="22"/>
              </w:rPr>
            </w:pPr>
            <w:r w:rsidRPr="00566B6A">
              <w:rPr>
                <w:rFonts w:ascii="Courier New" w:hAnsi="Courier New" w:cs="Courier New"/>
                <w:sz w:val="22"/>
              </w:rPr>
              <w:t>Federal Statute</w:t>
            </w:r>
          </w:p>
        </w:tc>
        <w:tc>
          <w:tcPr>
            <w:tcW w:w="2448" w:type="dxa"/>
          </w:tcPr>
          <w:p w14:paraId="71294B37" w14:textId="77777777" w:rsidR="00756B19" w:rsidRPr="00566B6A" w:rsidRDefault="00F247EE">
            <w:pPr>
              <w:rPr>
                <w:rFonts w:ascii="Courier New" w:hAnsi="Courier New" w:cs="Courier New"/>
                <w:sz w:val="22"/>
              </w:rPr>
            </w:pPr>
            <w:r w:rsidRPr="00566B6A">
              <w:rPr>
                <w:rFonts w:ascii="Courier New" w:hAnsi="Courier New" w:cs="Courier New"/>
                <w:sz w:val="22"/>
              </w:rPr>
              <w:t>15 U.S.C. §§ 1681s-2(b), 1681c-2</w:t>
            </w:r>
          </w:p>
        </w:tc>
        <w:tc>
          <w:tcPr>
            <w:tcW w:w="3168" w:type="dxa"/>
          </w:tcPr>
          <w:p w14:paraId="58377683" w14:textId="77777777" w:rsidR="00756B19" w:rsidRPr="00566B6A" w:rsidRDefault="00F247EE">
            <w:pPr>
              <w:rPr>
                <w:rFonts w:ascii="Courier New" w:hAnsi="Courier New" w:cs="Courier New"/>
                <w:sz w:val="22"/>
              </w:rPr>
            </w:pPr>
            <w:r w:rsidRPr="00566B6A">
              <w:rPr>
                <w:rFonts w:ascii="Courier New" w:hAnsi="Courier New" w:cs="Courier New"/>
                <w:sz w:val="22"/>
              </w:rPr>
              <w:t>Furnisher duties after CRA dispute notice; blocking of identity-theft information</w:t>
            </w:r>
          </w:p>
        </w:tc>
        <w:tc>
          <w:tcPr>
            <w:tcW w:w="3456" w:type="dxa"/>
          </w:tcPr>
          <w:p w14:paraId="62CA7167" w14:textId="77777777" w:rsidR="00756B19" w:rsidRPr="00566B6A" w:rsidRDefault="00F247EE">
            <w:pPr>
              <w:rPr>
                <w:rFonts w:ascii="Courier New" w:hAnsi="Courier New" w:cs="Courier New"/>
                <w:sz w:val="22"/>
              </w:rPr>
            </w:pPr>
            <w:r w:rsidRPr="00566B6A">
              <w:rPr>
                <w:rFonts w:ascii="Courier New" w:hAnsi="Courier New" w:cs="Courier New"/>
                <w:sz w:val="22"/>
              </w:rPr>
              <w:t>Investigation and modification, deletion, or permanent block where applicable; identity-theft block after required documentation</w:t>
            </w:r>
          </w:p>
        </w:tc>
        <w:tc>
          <w:tcPr>
            <w:tcW w:w="3888" w:type="dxa"/>
          </w:tcPr>
          <w:p w14:paraId="0B6D7941" w14:textId="77777777" w:rsidR="00756B19" w:rsidRPr="00566B6A" w:rsidRDefault="00F247EE">
            <w:pPr>
              <w:rPr>
                <w:rFonts w:ascii="Courier New" w:hAnsi="Courier New" w:cs="Courier New"/>
                <w:sz w:val="22"/>
              </w:rPr>
            </w:pPr>
            <w:r w:rsidRPr="00566B6A">
              <w:rPr>
                <w:rFonts w:ascii="Courier New" w:hAnsi="Courier New" w:cs="Courier New"/>
                <w:sz w:val="22"/>
              </w:rPr>
              <w:t>CRA dispute ID; identity-theft report; proof of identity; exact disputed identifiers; furnisher and bureau responses</w:t>
            </w:r>
          </w:p>
        </w:tc>
      </w:tr>
      <w:tr w:rsidR="00756B19" w:rsidRPr="00566B6A" w14:paraId="1CA34029" w14:textId="77777777">
        <w:trPr>
          <w:jc w:val="center"/>
        </w:trPr>
        <w:tc>
          <w:tcPr>
            <w:tcW w:w="1440" w:type="dxa"/>
          </w:tcPr>
          <w:p w14:paraId="570D2BA2" w14:textId="77777777" w:rsidR="00756B19" w:rsidRPr="00566B6A" w:rsidRDefault="00F247EE">
            <w:pPr>
              <w:rPr>
                <w:rFonts w:ascii="Courier New" w:hAnsi="Courier New" w:cs="Courier New"/>
                <w:sz w:val="22"/>
              </w:rPr>
            </w:pPr>
            <w:r w:rsidRPr="00566B6A">
              <w:rPr>
                <w:rFonts w:ascii="Courier New" w:hAnsi="Courier New" w:cs="Courier New"/>
                <w:sz w:val="22"/>
              </w:rPr>
              <w:t>Federal Regulation</w:t>
            </w:r>
          </w:p>
        </w:tc>
        <w:tc>
          <w:tcPr>
            <w:tcW w:w="2448" w:type="dxa"/>
          </w:tcPr>
          <w:p w14:paraId="2F4FC996" w14:textId="77777777" w:rsidR="00756B19" w:rsidRPr="00566B6A" w:rsidRDefault="00F247EE">
            <w:pPr>
              <w:rPr>
                <w:rFonts w:ascii="Courier New" w:hAnsi="Courier New" w:cs="Courier New"/>
                <w:sz w:val="22"/>
              </w:rPr>
            </w:pPr>
            <w:r w:rsidRPr="00566B6A">
              <w:rPr>
                <w:rFonts w:ascii="Courier New" w:hAnsi="Courier New" w:cs="Courier New"/>
                <w:sz w:val="22"/>
              </w:rPr>
              <w:t>12 C.F.R. § 1022.43(b)(1)(i)–(ii)</w:t>
            </w:r>
          </w:p>
        </w:tc>
        <w:tc>
          <w:tcPr>
            <w:tcW w:w="3168" w:type="dxa"/>
          </w:tcPr>
          <w:p w14:paraId="22F540E8" w14:textId="77777777" w:rsidR="00756B19" w:rsidRPr="00566B6A" w:rsidRDefault="00F247EE">
            <w:pPr>
              <w:rPr>
                <w:rFonts w:ascii="Courier New" w:hAnsi="Courier New" w:cs="Courier New"/>
                <w:sz w:val="22"/>
              </w:rPr>
            </w:pPr>
            <w:r w:rsidRPr="00566B6A">
              <w:rPr>
                <w:rFonts w:ascii="Courier New" w:hAnsi="Courier New" w:cs="Courier New"/>
                <w:sz w:val="22"/>
              </w:rPr>
              <w:t>Direct-furnisher dispute exception for identifying information, addresses, telephone numbers, and past or present employers</w:t>
            </w:r>
          </w:p>
        </w:tc>
        <w:tc>
          <w:tcPr>
            <w:tcW w:w="3456" w:type="dxa"/>
          </w:tcPr>
          <w:p w14:paraId="35C7CDB6" w14:textId="77777777" w:rsidR="00756B19" w:rsidRPr="00566B6A" w:rsidRDefault="00F247EE">
            <w:pPr>
              <w:rPr>
                <w:rFonts w:ascii="Courier New" w:hAnsi="Courier New" w:cs="Courier New"/>
                <w:sz w:val="22"/>
              </w:rPr>
            </w:pPr>
            <w:r w:rsidRPr="00566B6A">
              <w:rPr>
                <w:rFonts w:ascii="Courier New" w:hAnsi="Courier New" w:cs="Courier New"/>
                <w:sz w:val="22"/>
              </w:rPr>
              <w:t>Routes the primary identifying-information dispute to the consumer reporting agency; CRA-to-furnisher duties may apply after agency notice</w:t>
            </w:r>
          </w:p>
        </w:tc>
        <w:tc>
          <w:tcPr>
            <w:tcW w:w="3888" w:type="dxa"/>
          </w:tcPr>
          <w:p w14:paraId="4D2B9941" w14:textId="77777777" w:rsidR="00756B19" w:rsidRPr="00566B6A" w:rsidRDefault="00F247EE">
            <w:pPr>
              <w:rPr>
                <w:rFonts w:ascii="Courier New" w:hAnsi="Courier New" w:cs="Courier New"/>
                <w:sz w:val="22"/>
              </w:rPr>
            </w:pPr>
            <w:r w:rsidRPr="00566B6A">
              <w:rPr>
                <w:rFonts w:ascii="Courier New" w:hAnsi="Courier New" w:cs="Courier New"/>
                <w:sz w:val="22"/>
              </w:rPr>
              <w:t>Avoid misrouting; preserve bureau submission, supporting documents, transmission record, and investigation results</w:t>
            </w:r>
          </w:p>
        </w:tc>
      </w:tr>
    </w:tbl>
    <w:p w14:paraId="02A6E133"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B — STATE CASE LAW LIBRARY (REQUIRED)</w:t>
      </w:r>
    </w:p>
    <w:p w14:paraId="571A1F31"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Jurisdiction:</w:t>
      </w:r>
      <w:r w:rsidRPr="00566B6A">
        <w:rPr>
          <w:rFonts w:ascii="Courier New" w:hAnsi="Courier New" w:cs="Courier New"/>
          <w:sz w:val="22"/>
        </w:rPr>
        <w:t xml:space="preserve"> Arkansas (AR)</w:t>
      </w:r>
    </w:p>
    <w:p w14:paraId="202B8774" w14:textId="77777777" w:rsidR="00756B19" w:rsidRPr="00566B6A" w:rsidRDefault="00F247EE">
      <w:pPr>
        <w:spacing w:after="60"/>
        <w:rPr>
          <w:rFonts w:ascii="Courier New" w:hAnsi="Courier New" w:cs="Courier New"/>
          <w:sz w:val="22"/>
        </w:rPr>
      </w:pPr>
      <w:r w:rsidRPr="00566B6A">
        <w:rPr>
          <w:rFonts w:ascii="Courier New" w:hAnsi="Courier New" w:cs="Courier New"/>
          <w:i/>
          <w:sz w:val="22"/>
        </w:rPr>
        <w:t>Educational module — no liability conclusions. No invented citations. The debt-collection decision below applies pleading rules to FDCPA and Arkansas Fair Debt Collection Practices Act allegations; it should not be read as creating immunity for debt-collection litigation.</w:t>
      </w:r>
    </w:p>
    <w:p w14:paraId="40F81FCB"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lastRenderedPageBreak/>
        <w:t>Topic: UDAP / Consumer Deception</w:t>
      </w:r>
    </w:p>
    <w:tbl>
      <w:tblPr>
        <w:tblStyle w:val="TableGrid"/>
        <w:tblW w:w="0" w:type="auto"/>
        <w:jc w:val="center"/>
        <w:tblLayout w:type="fixed"/>
        <w:tblLook w:val="04A0" w:firstRow="1" w:lastRow="0" w:firstColumn="1" w:lastColumn="0" w:noHBand="0" w:noVBand="1"/>
      </w:tblPr>
      <w:tblGrid>
        <w:gridCol w:w="2232"/>
        <w:gridCol w:w="1152"/>
        <w:gridCol w:w="748"/>
        <w:gridCol w:w="2088"/>
        <w:gridCol w:w="4536"/>
        <w:gridCol w:w="3643"/>
      </w:tblGrid>
      <w:tr w:rsidR="00756B19" w:rsidRPr="00566B6A" w14:paraId="23AF2E37" w14:textId="77777777">
        <w:trPr>
          <w:cantSplit/>
          <w:tblHeader/>
          <w:jc w:val="center"/>
        </w:trPr>
        <w:tc>
          <w:tcPr>
            <w:tcW w:w="2232" w:type="dxa"/>
            <w:shd w:val="clear" w:color="auto" w:fill="D9EAF7"/>
            <w:tcMar>
              <w:top w:w="55" w:type="dxa"/>
              <w:left w:w="55" w:type="dxa"/>
              <w:bottom w:w="55" w:type="dxa"/>
              <w:right w:w="55" w:type="dxa"/>
            </w:tcMar>
            <w:vAlign w:val="center"/>
          </w:tcPr>
          <w:p w14:paraId="09E8807F"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Case Name</w:t>
            </w:r>
          </w:p>
        </w:tc>
        <w:tc>
          <w:tcPr>
            <w:tcW w:w="1152" w:type="dxa"/>
            <w:shd w:val="clear" w:color="auto" w:fill="D9EAF7"/>
            <w:tcMar>
              <w:top w:w="55" w:type="dxa"/>
              <w:left w:w="55" w:type="dxa"/>
              <w:bottom w:w="55" w:type="dxa"/>
              <w:right w:w="55" w:type="dxa"/>
            </w:tcMar>
            <w:vAlign w:val="center"/>
          </w:tcPr>
          <w:p w14:paraId="37964222"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Court</w:t>
            </w:r>
          </w:p>
        </w:tc>
        <w:tc>
          <w:tcPr>
            <w:tcW w:w="748" w:type="dxa"/>
            <w:shd w:val="clear" w:color="auto" w:fill="D9EAF7"/>
            <w:tcMar>
              <w:top w:w="55" w:type="dxa"/>
              <w:left w:w="55" w:type="dxa"/>
              <w:bottom w:w="55" w:type="dxa"/>
              <w:right w:w="55" w:type="dxa"/>
            </w:tcMar>
            <w:vAlign w:val="center"/>
          </w:tcPr>
          <w:p w14:paraId="1A73DC75"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Year</w:t>
            </w:r>
          </w:p>
        </w:tc>
        <w:tc>
          <w:tcPr>
            <w:tcW w:w="2088" w:type="dxa"/>
            <w:shd w:val="clear" w:color="auto" w:fill="D9EAF7"/>
            <w:tcMar>
              <w:top w:w="55" w:type="dxa"/>
              <w:left w:w="55" w:type="dxa"/>
              <w:bottom w:w="55" w:type="dxa"/>
              <w:right w:w="55" w:type="dxa"/>
            </w:tcMar>
            <w:vAlign w:val="center"/>
          </w:tcPr>
          <w:p w14:paraId="69DD40A1"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4536" w:type="dxa"/>
            <w:shd w:val="clear" w:color="auto" w:fill="D9EAF7"/>
            <w:tcMar>
              <w:top w:w="55" w:type="dxa"/>
              <w:left w:w="55" w:type="dxa"/>
              <w:bottom w:w="55" w:type="dxa"/>
              <w:right w:w="55" w:type="dxa"/>
            </w:tcMar>
            <w:vAlign w:val="center"/>
          </w:tcPr>
          <w:p w14:paraId="68054F4E"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Holding Summary</w:t>
            </w:r>
          </w:p>
        </w:tc>
        <w:tc>
          <w:tcPr>
            <w:tcW w:w="3643" w:type="dxa"/>
            <w:shd w:val="clear" w:color="auto" w:fill="D9EAF7"/>
            <w:tcMar>
              <w:top w:w="55" w:type="dxa"/>
              <w:left w:w="55" w:type="dxa"/>
              <w:bottom w:w="55" w:type="dxa"/>
              <w:right w:w="55" w:type="dxa"/>
            </w:tcMar>
            <w:vAlign w:val="center"/>
          </w:tcPr>
          <w:p w14:paraId="2EC055FA"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Practical Use</w:t>
            </w:r>
          </w:p>
        </w:tc>
      </w:tr>
      <w:tr w:rsidR="00756B19" w:rsidRPr="00566B6A" w14:paraId="405154CF" w14:textId="77777777">
        <w:trPr>
          <w:cantSplit/>
          <w:jc w:val="center"/>
        </w:trPr>
        <w:tc>
          <w:tcPr>
            <w:tcW w:w="2232" w:type="dxa"/>
            <w:tcMar>
              <w:top w:w="50" w:type="dxa"/>
              <w:left w:w="55" w:type="dxa"/>
              <w:bottom w:w="50" w:type="dxa"/>
              <w:right w:w="55" w:type="dxa"/>
            </w:tcMar>
          </w:tcPr>
          <w:p w14:paraId="128CB80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Wallis v. Ford Motor Co.</w:t>
            </w:r>
          </w:p>
        </w:tc>
        <w:tc>
          <w:tcPr>
            <w:tcW w:w="1152" w:type="dxa"/>
            <w:tcMar>
              <w:top w:w="50" w:type="dxa"/>
              <w:left w:w="55" w:type="dxa"/>
              <w:bottom w:w="50" w:type="dxa"/>
              <w:right w:w="55" w:type="dxa"/>
            </w:tcMar>
          </w:tcPr>
          <w:p w14:paraId="3B7C489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Ark. Sup. Ct.</w:t>
            </w:r>
          </w:p>
        </w:tc>
        <w:tc>
          <w:tcPr>
            <w:tcW w:w="748" w:type="dxa"/>
            <w:tcMar>
              <w:top w:w="50" w:type="dxa"/>
              <w:left w:w="55" w:type="dxa"/>
              <w:bottom w:w="50" w:type="dxa"/>
              <w:right w:w="55" w:type="dxa"/>
            </w:tcMar>
          </w:tcPr>
          <w:p w14:paraId="29F9D29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2005</w:t>
            </w:r>
          </w:p>
        </w:tc>
        <w:tc>
          <w:tcPr>
            <w:tcW w:w="2088" w:type="dxa"/>
            <w:tcMar>
              <w:top w:w="50" w:type="dxa"/>
              <w:left w:w="55" w:type="dxa"/>
              <w:bottom w:w="50" w:type="dxa"/>
              <w:right w:w="55" w:type="dxa"/>
            </w:tcMar>
          </w:tcPr>
          <w:p w14:paraId="701025B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362 Ark. 317, 208 S.W.3d 153</w:t>
            </w:r>
          </w:p>
        </w:tc>
        <w:tc>
          <w:tcPr>
            <w:tcW w:w="4536" w:type="dxa"/>
            <w:tcMar>
              <w:top w:w="50" w:type="dxa"/>
              <w:left w:w="55" w:type="dxa"/>
              <w:bottom w:w="50" w:type="dxa"/>
              <w:right w:w="55" w:type="dxa"/>
            </w:tcMar>
          </w:tcPr>
          <w:p w14:paraId="368304C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Distinguishes the Attorney General’s ability to seek relief for an ascertainable loss from a private ADTPA claim, which requires actual damage or injury. A pleaded diminution in value without a manifested defect or other actual injury was insufficient.</w:t>
            </w:r>
          </w:p>
        </w:tc>
        <w:tc>
          <w:tcPr>
            <w:tcW w:w="3643" w:type="dxa"/>
            <w:tcMar>
              <w:top w:w="50" w:type="dxa"/>
              <w:left w:w="55" w:type="dxa"/>
              <w:bottom w:w="50" w:type="dxa"/>
              <w:right w:w="55" w:type="dxa"/>
            </w:tcMar>
          </w:tcPr>
          <w:p w14:paraId="5B5AAAA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Document a concrete, realized financial loss rather than speculative reduced value; preserve repair history, transaction records, denials, payments, and other measurable injury evidence.</w:t>
            </w:r>
          </w:p>
        </w:tc>
      </w:tr>
      <w:tr w:rsidR="00756B19" w:rsidRPr="00566B6A" w14:paraId="564926D0" w14:textId="77777777">
        <w:trPr>
          <w:cantSplit/>
          <w:jc w:val="center"/>
        </w:trPr>
        <w:tc>
          <w:tcPr>
            <w:tcW w:w="2232" w:type="dxa"/>
            <w:shd w:val="clear" w:color="auto" w:fill="F7FAFC"/>
            <w:tcMar>
              <w:top w:w="50" w:type="dxa"/>
              <w:left w:w="55" w:type="dxa"/>
              <w:bottom w:w="50" w:type="dxa"/>
              <w:right w:w="55" w:type="dxa"/>
            </w:tcMar>
          </w:tcPr>
          <w:p w14:paraId="0B2F4D0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Baptist Health v. Murphy</w:t>
            </w:r>
          </w:p>
        </w:tc>
        <w:tc>
          <w:tcPr>
            <w:tcW w:w="1152" w:type="dxa"/>
            <w:shd w:val="clear" w:color="auto" w:fill="F7FAFC"/>
            <w:tcMar>
              <w:top w:w="50" w:type="dxa"/>
              <w:left w:w="55" w:type="dxa"/>
              <w:bottom w:w="50" w:type="dxa"/>
              <w:right w:w="55" w:type="dxa"/>
            </w:tcMar>
          </w:tcPr>
          <w:p w14:paraId="30AA2E5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Ark. Sup. Ct.</w:t>
            </w:r>
          </w:p>
        </w:tc>
        <w:tc>
          <w:tcPr>
            <w:tcW w:w="748" w:type="dxa"/>
            <w:shd w:val="clear" w:color="auto" w:fill="F7FAFC"/>
            <w:tcMar>
              <w:top w:w="50" w:type="dxa"/>
              <w:left w:w="55" w:type="dxa"/>
              <w:bottom w:w="50" w:type="dxa"/>
              <w:right w:w="55" w:type="dxa"/>
            </w:tcMar>
          </w:tcPr>
          <w:p w14:paraId="0BC015E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2010</w:t>
            </w:r>
          </w:p>
        </w:tc>
        <w:tc>
          <w:tcPr>
            <w:tcW w:w="2088" w:type="dxa"/>
            <w:shd w:val="clear" w:color="auto" w:fill="F7FAFC"/>
            <w:tcMar>
              <w:top w:w="50" w:type="dxa"/>
              <w:left w:w="55" w:type="dxa"/>
              <w:bottom w:w="50" w:type="dxa"/>
              <w:right w:w="55" w:type="dxa"/>
            </w:tcMar>
          </w:tcPr>
          <w:p w14:paraId="6313DF2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2010 Ark. 358, 373 S.W.3d 269</w:t>
            </w:r>
          </w:p>
        </w:tc>
        <w:tc>
          <w:tcPr>
            <w:tcW w:w="4536" w:type="dxa"/>
            <w:shd w:val="clear" w:color="auto" w:fill="F7FAFC"/>
            <w:tcMar>
              <w:top w:w="50" w:type="dxa"/>
              <w:left w:w="55" w:type="dxa"/>
              <w:bottom w:w="50" w:type="dxa"/>
              <w:right w:w="55" w:type="dxa"/>
            </w:tcMar>
          </w:tcPr>
          <w:p w14:paraId="0C65D96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Holds that the ADTPA private remedy is limited to the relief the statute expressly authorizes. The court rejected a private ADTPA claim seeking injunctive relief because the statute authorized recovery of actual damages, not a private injunction.</w:t>
            </w:r>
          </w:p>
        </w:tc>
        <w:tc>
          <w:tcPr>
            <w:tcW w:w="3643" w:type="dxa"/>
            <w:shd w:val="clear" w:color="auto" w:fill="F7FAFC"/>
            <w:tcMar>
              <w:top w:w="50" w:type="dxa"/>
              <w:left w:w="55" w:type="dxa"/>
              <w:bottom w:w="50" w:type="dxa"/>
              <w:right w:w="55" w:type="dxa"/>
            </w:tcMar>
          </w:tcPr>
          <w:p w14:paraId="3A5126C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Match the requested remedy to the statute; document actual financial loss and fees for a private claim, and route requests for public injunctive or restorative enforcement to the Attorney General where appropriate.</w:t>
            </w:r>
          </w:p>
        </w:tc>
      </w:tr>
    </w:tbl>
    <w:p w14:paraId="4F62CBD5" w14:textId="77777777" w:rsidR="00756B19" w:rsidRPr="00566B6A" w:rsidRDefault="00756B19">
      <w:pPr>
        <w:spacing w:after="20"/>
        <w:rPr>
          <w:rFonts w:ascii="Courier New" w:hAnsi="Courier New" w:cs="Courier New"/>
          <w:sz w:val="22"/>
        </w:rPr>
      </w:pPr>
    </w:p>
    <w:p w14:paraId="1C329527"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Topic: Debt Collection</w:t>
      </w:r>
    </w:p>
    <w:tbl>
      <w:tblPr>
        <w:tblStyle w:val="TableGrid"/>
        <w:tblW w:w="0" w:type="auto"/>
        <w:jc w:val="center"/>
        <w:tblLayout w:type="fixed"/>
        <w:tblLook w:val="04A0" w:firstRow="1" w:lastRow="0" w:firstColumn="1" w:lastColumn="0" w:noHBand="0" w:noVBand="1"/>
      </w:tblPr>
      <w:tblGrid>
        <w:gridCol w:w="2232"/>
        <w:gridCol w:w="1152"/>
        <w:gridCol w:w="748"/>
        <w:gridCol w:w="2088"/>
        <w:gridCol w:w="4536"/>
        <w:gridCol w:w="3643"/>
      </w:tblGrid>
      <w:tr w:rsidR="00756B19" w:rsidRPr="00566B6A" w14:paraId="18B8F6A0" w14:textId="77777777">
        <w:trPr>
          <w:cantSplit/>
          <w:tblHeader/>
          <w:jc w:val="center"/>
        </w:trPr>
        <w:tc>
          <w:tcPr>
            <w:tcW w:w="2232" w:type="dxa"/>
            <w:shd w:val="clear" w:color="auto" w:fill="D9EAF7"/>
            <w:tcMar>
              <w:top w:w="55" w:type="dxa"/>
              <w:left w:w="55" w:type="dxa"/>
              <w:bottom w:w="55" w:type="dxa"/>
              <w:right w:w="55" w:type="dxa"/>
            </w:tcMar>
            <w:vAlign w:val="center"/>
          </w:tcPr>
          <w:p w14:paraId="5B90CCC9"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Case Name</w:t>
            </w:r>
          </w:p>
        </w:tc>
        <w:tc>
          <w:tcPr>
            <w:tcW w:w="1152" w:type="dxa"/>
            <w:shd w:val="clear" w:color="auto" w:fill="D9EAF7"/>
            <w:tcMar>
              <w:top w:w="55" w:type="dxa"/>
              <w:left w:w="55" w:type="dxa"/>
              <w:bottom w:w="55" w:type="dxa"/>
              <w:right w:w="55" w:type="dxa"/>
            </w:tcMar>
            <w:vAlign w:val="center"/>
          </w:tcPr>
          <w:p w14:paraId="5D0D3022"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Court</w:t>
            </w:r>
          </w:p>
        </w:tc>
        <w:tc>
          <w:tcPr>
            <w:tcW w:w="748" w:type="dxa"/>
            <w:shd w:val="clear" w:color="auto" w:fill="D9EAF7"/>
            <w:tcMar>
              <w:top w:w="55" w:type="dxa"/>
              <w:left w:w="55" w:type="dxa"/>
              <w:bottom w:w="55" w:type="dxa"/>
              <w:right w:w="55" w:type="dxa"/>
            </w:tcMar>
            <w:vAlign w:val="center"/>
          </w:tcPr>
          <w:p w14:paraId="5DFC5E85"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Year</w:t>
            </w:r>
          </w:p>
        </w:tc>
        <w:tc>
          <w:tcPr>
            <w:tcW w:w="2088" w:type="dxa"/>
            <w:shd w:val="clear" w:color="auto" w:fill="D9EAF7"/>
            <w:tcMar>
              <w:top w:w="55" w:type="dxa"/>
              <w:left w:w="55" w:type="dxa"/>
              <w:bottom w:w="55" w:type="dxa"/>
              <w:right w:w="55" w:type="dxa"/>
            </w:tcMar>
            <w:vAlign w:val="center"/>
          </w:tcPr>
          <w:p w14:paraId="35C2E9CF"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4536" w:type="dxa"/>
            <w:shd w:val="clear" w:color="auto" w:fill="D9EAF7"/>
            <w:tcMar>
              <w:top w:w="55" w:type="dxa"/>
              <w:left w:w="55" w:type="dxa"/>
              <w:bottom w:w="55" w:type="dxa"/>
              <w:right w:w="55" w:type="dxa"/>
            </w:tcMar>
            <w:vAlign w:val="center"/>
          </w:tcPr>
          <w:p w14:paraId="11908DB5"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Holding Summary</w:t>
            </w:r>
          </w:p>
        </w:tc>
        <w:tc>
          <w:tcPr>
            <w:tcW w:w="3643" w:type="dxa"/>
            <w:shd w:val="clear" w:color="auto" w:fill="D9EAF7"/>
            <w:tcMar>
              <w:top w:w="55" w:type="dxa"/>
              <w:left w:w="55" w:type="dxa"/>
              <w:bottom w:w="55" w:type="dxa"/>
              <w:right w:w="55" w:type="dxa"/>
            </w:tcMar>
            <w:vAlign w:val="center"/>
          </w:tcPr>
          <w:p w14:paraId="7199149E"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Practical Use</w:t>
            </w:r>
          </w:p>
        </w:tc>
      </w:tr>
      <w:tr w:rsidR="00756B19" w:rsidRPr="00566B6A" w14:paraId="05F12712" w14:textId="77777777">
        <w:trPr>
          <w:cantSplit/>
          <w:jc w:val="center"/>
        </w:trPr>
        <w:tc>
          <w:tcPr>
            <w:tcW w:w="2232" w:type="dxa"/>
            <w:tcMar>
              <w:top w:w="50" w:type="dxa"/>
              <w:left w:w="55" w:type="dxa"/>
              <w:bottom w:w="50" w:type="dxa"/>
              <w:right w:w="55" w:type="dxa"/>
            </w:tcMar>
          </w:tcPr>
          <w:p w14:paraId="0ADA0A1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McMullen v. McHughes Law Firm</w:t>
            </w:r>
          </w:p>
        </w:tc>
        <w:tc>
          <w:tcPr>
            <w:tcW w:w="1152" w:type="dxa"/>
            <w:tcMar>
              <w:top w:w="50" w:type="dxa"/>
              <w:left w:w="55" w:type="dxa"/>
              <w:bottom w:w="50" w:type="dxa"/>
              <w:right w:w="55" w:type="dxa"/>
            </w:tcMar>
          </w:tcPr>
          <w:p w14:paraId="69C2673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Ark. Sup. Ct.</w:t>
            </w:r>
          </w:p>
        </w:tc>
        <w:tc>
          <w:tcPr>
            <w:tcW w:w="748" w:type="dxa"/>
            <w:tcMar>
              <w:top w:w="50" w:type="dxa"/>
              <w:left w:w="55" w:type="dxa"/>
              <w:bottom w:w="50" w:type="dxa"/>
              <w:right w:w="55" w:type="dxa"/>
            </w:tcMar>
          </w:tcPr>
          <w:p w14:paraId="61FE14F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2015</w:t>
            </w:r>
          </w:p>
        </w:tc>
        <w:tc>
          <w:tcPr>
            <w:tcW w:w="2088" w:type="dxa"/>
            <w:tcMar>
              <w:top w:w="50" w:type="dxa"/>
              <w:left w:w="55" w:type="dxa"/>
              <w:bottom w:w="50" w:type="dxa"/>
              <w:right w:w="55" w:type="dxa"/>
            </w:tcMar>
          </w:tcPr>
          <w:p w14:paraId="6B77818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2015 Ark. 15, 454 S.W.3d 200</w:t>
            </w:r>
          </w:p>
        </w:tc>
        <w:tc>
          <w:tcPr>
            <w:tcW w:w="4536" w:type="dxa"/>
            <w:tcMar>
              <w:top w:w="50" w:type="dxa"/>
              <w:left w:w="55" w:type="dxa"/>
              <w:bottom w:w="50" w:type="dxa"/>
              <w:right w:w="55" w:type="dxa"/>
            </w:tcMar>
          </w:tcPr>
          <w:p w14:paraId="62B1EA0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Confirms that attorneys who regularly collect consumer debts through litigation do not have blanket FDCPA immunity, but affirms dismissal where the complaint stated conclusions rather than specific facts showing false, abusive, or unfair collection conduct.</w:t>
            </w:r>
          </w:p>
        </w:tc>
        <w:tc>
          <w:tcPr>
            <w:tcW w:w="3643" w:type="dxa"/>
            <w:tcMar>
              <w:top w:w="50" w:type="dxa"/>
              <w:left w:w="55" w:type="dxa"/>
              <w:bottom w:w="50" w:type="dxa"/>
              <w:right w:w="55" w:type="dxa"/>
            </w:tcMar>
          </w:tcPr>
          <w:p w14:paraId="5E6C908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Plead and preserve specific facts: account ownership, collector communications, disputed amounts, verification requests, suit allegations, service records, assignment evidence, and the exact false or unfair statement or act.</w:t>
            </w:r>
          </w:p>
        </w:tc>
      </w:tr>
    </w:tbl>
    <w:p w14:paraId="0F748E78" w14:textId="77777777" w:rsidR="00756B19" w:rsidRPr="00566B6A" w:rsidRDefault="00756B19">
      <w:pPr>
        <w:spacing w:after="20"/>
        <w:rPr>
          <w:rFonts w:ascii="Courier New" w:hAnsi="Courier New" w:cs="Courier New"/>
          <w:sz w:val="22"/>
        </w:rPr>
      </w:pPr>
    </w:p>
    <w:p w14:paraId="058A5C87"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Case Law (Curated — Consolidated)</w:t>
      </w:r>
    </w:p>
    <w:tbl>
      <w:tblPr>
        <w:tblStyle w:val="TableGrid"/>
        <w:tblW w:w="0" w:type="auto"/>
        <w:jc w:val="center"/>
        <w:tblLayout w:type="fixed"/>
        <w:tblLook w:val="04A0" w:firstRow="1" w:lastRow="0" w:firstColumn="1" w:lastColumn="0" w:noHBand="0" w:noVBand="1"/>
      </w:tblPr>
      <w:tblGrid>
        <w:gridCol w:w="2232"/>
        <w:gridCol w:w="1152"/>
        <w:gridCol w:w="748"/>
        <w:gridCol w:w="2088"/>
        <w:gridCol w:w="4536"/>
        <w:gridCol w:w="3643"/>
      </w:tblGrid>
      <w:tr w:rsidR="00756B19" w:rsidRPr="00566B6A" w14:paraId="2E0F2305" w14:textId="77777777">
        <w:trPr>
          <w:cantSplit/>
          <w:tblHeader/>
          <w:jc w:val="center"/>
        </w:trPr>
        <w:tc>
          <w:tcPr>
            <w:tcW w:w="2232" w:type="dxa"/>
            <w:shd w:val="clear" w:color="auto" w:fill="D9EAF7"/>
            <w:tcMar>
              <w:top w:w="55" w:type="dxa"/>
              <w:left w:w="55" w:type="dxa"/>
              <w:bottom w:w="55" w:type="dxa"/>
              <w:right w:w="55" w:type="dxa"/>
            </w:tcMar>
            <w:vAlign w:val="center"/>
          </w:tcPr>
          <w:p w14:paraId="280C4CBC"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Case Name</w:t>
            </w:r>
          </w:p>
        </w:tc>
        <w:tc>
          <w:tcPr>
            <w:tcW w:w="1152" w:type="dxa"/>
            <w:shd w:val="clear" w:color="auto" w:fill="D9EAF7"/>
            <w:tcMar>
              <w:top w:w="55" w:type="dxa"/>
              <w:left w:w="55" w:type="dxa"/>
              <w:bottom w:w="55" w:type="dxa"/>
              <w:right w:w="55" w:type="dxa"/>
            </w:tcMar>
            <w:vAlign w:val="center"/>
          </w:tcPr>
          <w:p w14:paraId="7AE889C8"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Court</w:t>
            </w:r>
          </w:p>
        </w:tc>
        <w:tc>
          <w:tcPr>
            <w:tcW w:w="748" w:type="dxa"/>
            <w:shd w:val="clear" w:color="auto" w:fill="D9EAF7"/>
            <w:tcMar>
              <w:top w:w="55" w:type="dxa"/>
              <w:left w:w="55" w:type="dxa"/>
              <w:bottom w:w="55" w:type="dxa"/>
              <w:right w:w="55" w:type="dxa"/>
            </w:tcMar>
            <w:vAlign w:val="center"/>
          </w:tcPr>
          <w:p w14:paraId="45FAB46B"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Year</w:t>
            </w:r>
          </w:p>
        </w:tc>
        <w:tc>
          <w:tcPr>
            <w:tcW w:w="2088" w:type="dxa"/>
            <w:shd w:val="clear" w:color="auto" w:fill="D9EAF7"/>
            <w:tcMar>
              <w:top w:w="55" w:type="dxa"/>
              <w:left w:w="55" w:type="dxa"/>
              <w:bottom w:w="55" w:type="dxa"/>
              <w:right w:w="55" w:type="dxa"/>
            </w:tcMar>
            <w:vAlign w:val="center"/>
          </w:tcPr>
          <w:p w14:paraId="3DE842F7"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4536" w:type="dxa"/>
            <w:shd w:val="clear" w:color="auto" w:fill="D9EAF7"/>
            <w:tcMar>
              <w:top w:w="55" w:type="dxa"/>
              <w:left w:w="55" w:type="dxa"/>
              <w:bottom w:w="55" w:type="dxa"/>
              <w:right w:w="55" w:type="dxa"/>
            </w:tcMar>
            <w:vAlign w:val="center"/>
          </w:tcPr>
          <w:p w14:paraId="125DCC42"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Holding Summary</w:t>
            </w:r>
          </w:p>
        </w:tc>
        <w:tc>
          <w:tcPr>
            <w:tcW w:w="3643" w:type="dxa"/>
            <w:shd w:val="clear" w:color="auto" w:fill="D9EAF7"/>
            <w:tcMar>
              <w:top w:w="55" w:type="dxa"/>
              <w:left w:w="55" w:type="dxa"/>
              <w:bottom w:w="55" w:type="dxa"/>
              <w:right w:w="55" w:type="dxa"/>
            </w:tcMar>
            <w:vAlign w:val="center"/>
          </w:tcPr>
          <w:p w14:paraId="3371C13D"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Practical Use</w:t>
            </w:r>
          </w:p>
        </w:tc>
      </w:tr>
      <w:tr w:rsidR="00756B19" w:rsidRPr="00566B6A" w14:paraId="2A128B0D" w14:textId="77777777">
        <w:trPr>
          <w:cantSplit/>
          <w:jc w:val="center"/>
        </w:trPr>
        <w:tc>
          <w:tcPr>
            <w:tcW w:w="2232" w:type="dxa"/>
            <w:tcMar>
              <w:top w:w="50" w:type="dxa"/>
              <w:left w:w="55" w:type="dxa"/>
              <w:bottom w:w="50" w:type="dxa"/>
              <w:right w:w="55" w:type="dxa"/>
            </w:tcMar>
          </w:tcPr>
          <w:p w14:paraId="15BF32D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Wallis v. Ford Motor Co.</w:t>
            </w:r>
          </w:p>
        </w:tc>
        <w:tc>
          <w:tcPr>
            <w:tcW w:w="1152" w:type="dxa"/>
            <w:tcMar>
              <w:top w:w="50" w:type="dxa"/>
              <w:left w:w="55" w:type="dxa"/>
              <w:bottom w:w="50" w:type="dxa"/>
              <w:right w:w="55" w:type="dxa"/>
            </w:tcMar>
          </w:tcPr>
          <w:p w14:paraId="630E022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Ark. Sup. Ct.</w:t>
            </w:r>
          </w:p>
        </w:tc>
        <w:tc>
          <w:tcPr>
            <w:tcW w:w="748" w:type="dxa"/>
            <w:tcMar>
              <w:top w:w="50" w:type="dxa"/>
              <w:left w:w="55" w:type="dxa"/>
              <w:bottom w:w="50" w:type="dxa"/>
              <w:right w:w="55" w:type="dxa"/>
            </w:tcMar>
          </w:tcPr>
          <w:p w14:paraId="2B76484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2005</w:t>
            </w:r>
          </w:p>
        </w:tc>
        <w:tc>
          <w:tcPr>
            <w:tcW w:w="2088" w:type="dxa"/>
            <w:tcMar>
              <w:top w:w="50" w:type="dxa"/>
              <w:left w:w="55" w:type="dxa"/>
              <w:bottom w:w="50" w:type="dxa"/>
              <w:right w:w="55" w:type="dxa"/>
            </w:tcMar>
          </w:tcPr>
          <w:p w14:paraId="73C05E2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362 Ark. 317, 208 S.W.3d 153</w:t>
            </w:r>
          </w:p>
        </w:tc>
        <w:tc>
          <w:tcPr>
            <w:tcW w:w="4536" w:type="dxa"/>
            <w:tcMar>
              <w:top w:w="50" w:type="dxa"/>
              <w:left w:w="55" w:type="dxa"/>
              <w:bottom w:w="50" w:type="dxa"/>
              <w:right w:w="55" w:type="dxa"/>
            </w:tcMar>
          </w:tcPr>
          <w:p w14:paraId="35E9EAF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Distinguishes the Attorney General’s ability to seek relief for an ascertainable loss from a private ADTPA claim, which requires actual damage or injury. A pleaded diminution in value without a manifested defect or other actual injury was insufficient.</w:t>
            </w:r>
          </w:p>
        </w:tc>
        <w:tc>
          <w:tcPr>
            <w:tcW w:w="3643" w:type="dxa"/>
            <w:tcMar>
              <w:top w:w="50" w:type="dxa"/>
              <w:left w:w="55" w:type="dxa"/>
              <w:bottom w:w="50" w:type="dxa"/>
              <w:right w:w="55" w:type="dxa"/>
            </w:tcMar>
          </w:tcPr>
          <w:p w14:paraId="69E8FBD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Document a concrete, realized financial loss rather than speculative reduced value; preserve repair history, transaction records, denials, payments, and other measurable injury evidence.</w:t>
            </w:r>
          </w:p>
        </w:tc>
      </w:tr>
      <w:tr w:rsidR="00756B19" w:rsidRPr="00566B6A" w14:paraId="26093C36" w14:textId="77777777">
        <w:trPr>
          <w:cantSplit/>
          <w:jc w:val="center"/>
        </w:trPr>
        <w:tc>
          <w:tcPr>
            <w:tcW w:w="2232" w:type="dxa"/>
            <w:shd w:val="clear" w:color="auto" w:fill="F7FAFC"/>
            <w:tcMar>
              <w:top w:w="50" w:type="dxa"/>
              <w:left w:w="55" w:type="dxa"/>
              <w:bottom w:w="50" w:type="dxa"/>
              <w:right w:w="55" w:type="dxa"/>
            </w:tcMar>
          </w:tcPr>
          <w:p w14:paraId="246D35A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Baptist Health v. Murphy</w:t>
            </w:r>
          </w:p>
        </w:tc>
        <w:tc>
          <w:tcPr>
            <w:tcW w:w="1152" w:type="dxa"/>
            <w:shd w:val="clear" w:color="auto" w:fill="F7FAFC"/>
            <w:tcMar>
              <w:top w:w="50" w:type="dxa"/>
              <w:left w:w="55" w:type="dxa"/>
              <w:bottom w:w="50" w:type="dxa"/>
              <w:right w:w="55" w:type="dxa"/>
            </w:tcMar>
          </w:tcPr>
          <w:p w14:paraId="0CB14AC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Ark. Sup. Ct.</w:t>
            </w:r>
          </w:p>
        </w:tc>
        <w:tc>
          <w:tcPr>
            <w:tcW w:w="748" w:type="dxa"/>
            <w:shd w:val="clear" w:color="auto" w:fill="F7FAFC"/>
            <w:tcMar>
              <w:top w:w="50" w:type="dxa"/>
              <w:left w:w="55" w:type="dxa"/>
              <w:bottom w:w="50" w:type="dxa"/>
              <w:right w:w="55" w:type="dxa"/>
            </w:tcMar>
          </w:tcPr>
          <w:p w14:paraId="088D68D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2010</w:t>
            </w:r>
          </w:p>
        </w:tc>
        <w:tc>
          <w:tcPr>
            <w:tcW w:w="2088" w:type="dxa"/>
            <w:shd w:val="clear" w:color="auto" w:fill="F7FAFC"/>
            <w:tcMar>
              <w:top w:w="50" w:type="dxa"/>
              <w:left w:w="55" w:type="dxa"/>
              <w:bottom w:w="50" w:type="dxa"/>
              <w:right w:w="55" w:type="dxa"/>
            </w:tcMar>
          </w:tcPr>
          <w:p w14:paraId="33FCBA3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2010 Ark. 358, 373 S.W.3d 269</w:t>
            </w:r>
          </w:p>
        </w:tc>
        <w:tc>
          <w:tcPr>
            <w:tcW w:w="4536" w:type="dxa"/>
            <w:shd w:val="clear" w:color="auto" w:fill="F7FAFC"/>
            <w:tcMar>
              <w:top w:w="50" w:type="dxa"/>
              <w:left w:w="55" w:type="dxa"/>
              <w:bottom w:w="50" w:type="dxa"/>
              <w:right w:w="55" w:type="dxa"/>
            </w:tcMar>
          </w:tcPr>
          <w:p w14:paraId="0180478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Holds that the ADTPA private remedy is limited to the relief the statute expressly authorizes. The court rejected a private ADTPA claim seeking injunctive relief because the statute authorized recovery of actual damages, not a private injunction.</w:t>
            </w:r>
          </w:p>
        </w:tc>
        <w:tc>
          <w:tcPr>
            <w:tcW w:w="3643" w:type="dxa"/>
            <w:shd w:val="clear" w:color="auto" w:fill="F7FAFC"/>
            <w:tcMar>
              <w:top w:w="50" w:type="dxa"/>
              <w:left w:w="55" w:type="dxa"/>
              <w:bottom w:w="50" w:type="dxa"/>
              <w:right w:w="55" w:type="dxa"/>
            </w:tcMar>
          </w:tcPr>
          <w:p w14:paraId="314458A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Match the requested remedy to the statute; document actual financial loss and fees for a private claim, and route requests for public injunctive or restorative enforcement to the Attorney General where appropriate.</w:t>
            </w:r>
          </w:p>
        </w:tc>
      </w:tr>
      <w:tr w:rsidR="00756B19" w:rsidRPr="00566B6A" w14:paraId="4415A3DF" w14:textId="77777777">
        <w:trPr>
          <w:cantSplit/>
          <w:jc w:val="center"/>
        </w:trPr>
        <w:tc>
          <w:tcPr>
            <w:tcW w:w="2232" w:type="dxa"/>
            <w:tcMar>
              <w:top w:w="50" w:type="dxa"/>
              <w:left w:w="55" w:type="dxa"/>
              <w:bottom w:w="50" w:type="dxa"/>
              <w:right w:w="55" w:type="dxa"/>
            </w:tcMar>
          </w:tcPr>
          <w:p w14:paraId="4B579E2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McMullen v. McHughes Law Firm</w:t>
            </w:r>
          </w:p>
        </w:tc>
        <w:tc>
          <w:tcPr>
            <w:tcW w:w="1152" w:type="dxa"/>
            <w:tcMar>
              <w:top w:w="50" w:type="dxa"/>
              <w:left w:w="55" w:type="dxa"/>
              <w:bottom w:w="50" w:type="dxa"/>
              <w:right w:w="55" w:type="dxa"/>
            </w:tcMar>
          </w:tcPr>
          <w:p w14:paraId="7B5BE92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Ark. Sup. Ct.</w:t>
            </w:r>
          </w:p>
        </w:tc>
        <w:tc>
          <w:tcPr>
            <w:tcW w:w="748" w:type="dxa"/>
            <w:tcMar>
              <w:top w:w="50" w:type="dxa"/>
              <w:left w:w="55" w:type="dxa"/>
              <w:bottom w:w="50" w:type="dxa"/>
              <w:right w:w="55" w:type="dxa"/>
            </w:tcMar>
          </w:tcPr>
          <w:p w14:paraId="100CFD6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2015</w:t>
            </w:r>
          </w:p>
        </w:tc>
        <w:tc>
          <w:tcPr>
            <w:tcW w:w="2088" w:type="dxa"/>
            <w:tcMar>
              <w:top w:w="50" w:type="dxa"/>
              <w:left w:w="55" w:type="dxa"/>
              <w:bottom w:w="50" w:type="dxa"/>
              <w:right w:w="55" w:type="dxa"/>
            </w:tcMar>
          </w:tcPr>
          <w:p w14:paraId="5D62FA2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2015 Ark. 15, 454 S.W.3d 200</w:t>
            </w:r>
          </w:p>
        </w:tc>
        <w:tc>
          <w:tcPr>
            <w:tcW w:w="4536" w:type="dxa"/>
            <w:tcMar>
              <w:top w:w="50" w:type="dxa"/>
              <w:left w:w="55" w:type="dxa"/>
              <w:bottom w:w="50" w:type="dxa"/>
              <w:right w:w="55" w:type="dxa"/>
            </w:tcMar>
          </w:tcPr>
          <w:p w14:paraId="3924069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Confirms that attorneys who regularly collect consumer debts through litigation do not have blanket FDCPA immunity, but affirms dismissal where the complaint stated conclusions rather than specific facts showing false, abusive, or unfair collection conduct.</w:t>
            </w:r>
          </w:p>
        </w:tc>
        <w:tc>
          <w:tcPr>
            <w:tcW w:w="3643" w:type="dxa"/>
            <w:tcMar>
              <w:top w:w="50" w:type="dxa"/>
              <w:left w:w="55" w:type="dxa"/>
              <w:bottom w:w="50" w:type="dxa"/>
              <w:right w:w="55" w:type="dxa"/>
            </w:tcMar>
          </w:tcPr>
          <w:p w14:paraId="361E50F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Plead and preserve specific facts: account ownership, collector communications, disputed amounts, verification requests, suit allegations, service records, assignment evidence, and the exact false or unfair statement or act.</w:t>
            </w:r>
          </w:p>
        </w:tc>
      </w:tr>
    </w:tbl>
    <w:p w14:paraId="0D3C7111" w14:textId="77777777" w:rsidR="00756B19" w:rsidRPr="00566B6A" w:rsidRDefault="00756B19">
      <w:pPr>
        <w:spacing w:after="20"/>
        <w:rPr>
          <w:rFonts w:ascii="Courier New" w:hAnsi="Courier New" w:cs="Courier New"/>
          <w:sz w:val="22"/>
        </w:rPr>
      </w:pPr>
    </w:p>
    <w:p w14:paraId="62CA3E7D"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lastRenderedPageBreak/>
        <w:t>PART C — FCRA PREEMPTION + STATE-LAW SAFE ZONES (WITH CITATIONS)</w:t>
      </w:r>
    </w:p>
    <w:p w14:paraId="03CC2CC9" w14:textId="77777777" w:rsidR="00756B19" w:rsidRPr="00566B6A" w:rsidRDefault="00F247EE">
      <w:pPr>
        <w:keepNext/>
        <w:spacing w:after="60"/>
        <w:rPr>
          <w:rFonts w:ascii="Courier New" w:hAnsi="Courier New" w:cs="Courier New"/>
          <w:sz w:val="22"/>
        </w:rPr>
      </w:pPr>
      <w:r w:rsidRPr="00566B6A">
        <w:rPr>
          <w:rFonts w:ascii="Courier New" w:hAnsi="Courier New" w:cs="Courier New"/>
          <w:b/>
          <w:sz w:val="22"/>
        </w:rPr>
        <w:t>Federal preemption provisions (educational):</w:t>
      </w:r>
    </w:p>
    <w:p w14:paraId="4ADED9A9"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15 U.S.C. § 1681t(b) — </w:t>
      </w:r>
      <w:r w:rsidRPr="00566B6A">
        <w:rPr>
          <w:rFonts w:ascii="Courier New" w:hAnsi="Courier New" w:cs="Courier New"/>
          <w:sz w:val="22"/>
        </w:rPr>
        <w:t>preemption of certain state laws concerning subject matter regulated by the FCRA.</w:t>
      </w:r>
    </w:p>
    <w:p w14:paraId="6250FC8A"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15 U.S.C. § 1681h(e) — </w:t>
      </w:r>
      <w:r w:rsidRPr="00566B6A">
        <w:rPr>
          <w:rFonts w:ascii="Courier New" w:hAnsi="Courier New" w:cs="Courier New"/>
          <w:sz w:val="22"/>
        </w:rPr>
        <w:t>limitations on certain state causes of action involving information disclosed under specified FCRA provisions.</w:t>
      </w:r>
    </w:p>
    <w:p w14:paraId="57F5134C" w14:textId="77777777" w:rsidR="00756B19" w:rsidRDefault="00F247EE">
      <w:pPr>
        <w:spacing w:after="60"/>
        <w:rPr>
          <w:rFonts w:ascii="Courier New" w:hAnsi="Courier New" w:cs="Courier New"/>
          <w:sz w:val="22"/>
        </w:rPr>
      </w:pPr>
      <w:r w:rsidRPr="00566B6A">
        <w:rPr>
          <w:rFonts w:ascii="Courier New" w:hAnsi="Courier New" w:cs="Courier New"/>
          <w:sz w:val="22"/>
        </w:rPr>
        <w:t>Educational summary: Federal law generally governs CRA and furnisher duties concerning accuracy, reinvestigation, dispute processing, and reporting. Arkansas claims that duplicate or conflict with those duties may be preemption-sensitive.</w:t>
      </w:r>
    </w:p>
    <w:p w14:paraId="4E3D232F" w14:textId="77777777" w:rsidR="00964317" w:rsidRPr="00566B6A" w:rsidRDefault="00964317">
      <w:pPr>
        <w:spacing w:after="60"/>
        <w:rPr>
          <w:rFonts w:ascii="Courier New" w:hAnsi="Courier New" w:cs="Courier New"/>
          <w:sz w:val="22"/>
        </w:rPr>
      </w:pPr>
    </w:p>
    <w:p w14:paraId="6FF22A4A"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Preemption Risk Map</w:t>
      </w:r>
    </w:p>
    <w:tbl>
      <w:tblPr>
        <w:tblStyle w:val="TableGrid"/>
        <w:tblW w:w="0" w:type="auto"/>
        <w:jc w:val="center"/>
        <w:tblLayout w:type="fixed"/>
        <w:tblLook w:val="04A0" w:firstRow="1" w:lastRow="0" w:firstColumn="1" w:lastColumn="0" w:noHBand="0" w:noVBand="1"/>
      </w:tblPr>
      <w:tblGrid>
        <w:gridCol w:w="2232"/>
        <w:gridCol w:w="3096"/>
        <w:gridCol w:w="1080"/>
        <w:gridCol w:w="1224"/>
        <w:gridCol w:w="6768"/>
      </w:tblGrid>
      <w:tr w:rsidR="00756B19" w:rsidRPr="00566B6A" w14:paraId="6C279385" w14:textId="77777777">
        <w:trPr>
          <w:cantSplit/>
          <w:tblHeader/>
          <w:jc w:val="center"/>
        </w:trPr>
        <w:tc>
          <w:tcPr>
            <w:tcW w:w="2232" w:type="dxa"/>
            <w:shd w:val="clear" w:color="auto" w:fill="D9EAF7"/>
            <w:tcMar>
              <w:top w:w="55" w:type="dxa"/>
              <w:left w:w="55" w:type="dxa"/>
              <w:bottom w:w="55" w:type="dxa"/>
              <w:right w:w="55" w:type="dxa"/>
            </w:tcMar>
            <w:vAlign w:val="center"/>
          </w:tcPr>
          <w:p w14:paraId="384D575D"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Claim / Topic</w:t>
            </w:r>
          </w:p>
        </w:tc>
        <w:tc>
          <w:tcPr>
            <w:tcW w:w="3096" w:type="dxa"/>
            <w:shd w:val="clear" w:color="auto" w:fill="D9EAF7"/>
            <w:tcMar>
              <w:top w:w="55" w:type="dxa"/>
              <w:left w:w="55" w:type="dxa"/>
              <w:bottom w:w="55" w:type="dxa"/>
              <w:right w:w="55" w:type="dxa"/>
            </w:tcMar>
            <w:vAlign w:val="center"/>
          </w:tcPr>
          <w:p w14:paraId="0A1D55A4"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Arkansas Authority</w:t>
            </w:r>
          </w:p>
        </w:tc>
        <w:tc>
          <w:tcPr>
            <w:tcW w:w="1080" w:type="dxa"/>
            <w:shd w:val="clear" w:color="auto" w:fill="D9EAF7"/>
            <w:tcMar>
              <w:top w:w="55" w:type="dxa"/>
              <w:left w:w="55" w:type="dxa"/>
              <w:bottom w:w="55" w:type="dxa"/>
              <w:right w:w="55" w:type="dxa"/>
            </w:tcMar>
            <w:vAlign w:val="center"/>
          </w:tcPr>
          <w:p w14:paraId="226B39AA"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FCRA Overlap</w:t>
            </w:r>
          </w:p>
        </w:tc>
        <w:tc>
          <w:tcPr>
            <w:tcW w:w="1224" w:type="dxa"/>
            <w:shd w:val="clear" w:color="auto" w:fill="D9EAF7"/>
            <w:tcMar>
              <w:top w:w="55" w:type="dxa"/>
              <w:left w:w="55" w:type="dxa"/>
              <w:bottom w:w="55" w:type="dxa"/>
              <w:right w:w="55" w:type="dxa"/>
            </w:tcMar>
            <w:vAlign w:val="center"/>
          </w:tcPr>
          <w:p w14:paraId="068FF45F"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Preemption Risk</w:t>
            </w:r>
          </w:p>
        </w:tc>
        <w:tc>
          <w:tcPr>
            <w:tcW w:w="6768" w:type="dxa"/>
            <w:shd w:val="clear" w:color="auto" w:fill="D9EAF7"/>
            <w:tcMar>
              <w:top w:w="55" w:type="dxa"/>
              <w:left w:w="55" w:type="dxa"/>
              <w:bottom w:w="55" w:type="dxa"/>
              <w:right w:w="55" w:type="dxa"/>
            </w:tcMar>
            <w:vAlign w:val="center"/>
          </w:tcPr>
          <w:p w14:paraId="5B9E8A2C"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Procedural Framing</w:t>
            </w:r>
          </w:p>
        </w:tc>
      </w:tr>
      <w:tr w:rsidR="00756B19" w:rsidRPr="00566B6A" w14:paraId="755995F8" w14:textId="77777777">
        <w:trPr>
          <w:cantSplit/>
          <w:jc w:val="center"/>
        </w:trPr>
        <w:tc>
          <w:tcPr>
            <w:tcW w:w="2232" w:type="dxa"/>
            <w:tcMar>
              <w:top w:w="50" w:type="dxa"/>
              <w:left w:w="55" w:type="dxa"/>
              <w:bottom w:w="50" w:type="dxa"/>
              <w:right w:w="55" w:type="dxa"/>
            </w:tcMar>
          </w:tcPr>
          <w:p w14:paraId="455357D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CRA accuracy / reinvestigation</w:t>
            </w:r>
          </w:p>
        </w:tc>
        <w:tc>
          <w:tcPr>
            <w:tcW w:w="3096" w:type="dxa"/>
            <w:tcMar>
              <w:top w:w="50" w:type="dxa"/>
              <w:left w:w="55" w:type="dxa"/>
              <w:bottom w:w="50" w:type="dxa"/>
              <w:right w:w="55" w:type="dxa"/>
            </w:tcMar>
          </w:tcPr>
          <w:p w14:paraId="295DBD2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Ark. Code Ann. §§ 4-112-101–114 address freezes; federal FCRA remains primary for accuracy and reinvestigation</w:t>
            </w:r>
          </w:p>
        </w:tc>
        <w:tc>
          <w:tcPr>
            <w:tcW w:w="1080" w:type="dxa"/>
            <w:tcMar>
              <w:top w:w="50" w:type="dxa"/>
              <w:left w:w="55" w:type="dxa"/>
              <w:bottom w:w="50" w:type="dxa"/>
              <w:right w:w="55" w:type="dxa"/>
            </w:tcMar>
          </w:tcPr>
          <w:p w14:paraId="0C2D75A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High</w:t>
            </w:r>
          </w:p>
        </w:tc>
        <w:tc>
          <w:tcPr>
            <w:tcW w:w="1224" w:type="dxa"/>
            <w:tcMar>
              <w:top w:w="50" w:type="dxa"/>
              <w:left w:w="55" w:type="dxa"/>
              <w:bottom w:w="50" w:type="dxa"/>
              <w:right w:w="55" w:type="dxa"/>
            </w:tcMar>
          </w:tcPr>
          <w:p w14:paraId="4707594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High</w:t>
            </w:r>
          </w:p>
        </w:tc>
        <w:tc>
          <w:tcPr>
            <w:tcW w:w="6768" w:type="dxa"/>
            <w:tcMar>
              <w:top w:w="50" w:type="dxa"/>
              <w:left w:w="55" w:type="dxa"/>
              <w:bottom w:w="50" w:type="dxa"/>
              <w:right w:w="55" w:type="dxa"/>
            </w:tcMar>
          </w:tcPr>
          <w:p w14:paraId="7FF8581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Use the FCRA dispute and method-of-verification record; avoid pleading parallel Arkansas reporting duties without specific nonpreempted authority.</w:t>
            </w:r>
          </w:p>
        </w:tc>
      </w:tr>
      <w:tr w:rsidR="00756B19" w:rsidRPr="00566B6A" w14:paraId="4F4323B2" w14:textId="77777777">
        <w:trPr>
          <w:cantSplit/>
          <w:jc w:val="center"/>
        </w:trPr>
        <w:tc>
          <w:tcPr>
            <w:tcW w:w="2232" w:type="dxa"/>
            <w:shd w:val="clear" w:color="auto" w:fill="F7FAFC"/>
            <w:tcMar>
              <w:top w:w="50" w:type="dxa"/>
              <w:left w:w="55" w:type="dxa"/>
              <w:bottom w:w="50" w:type="dxa"/>
              <w:right w:w="55" w:type="dxa"/>
            </w:tcMar>
          </w:tcPr>
          <w:p w14:paraId="08DB3CE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Furnisher reporting duties</w:t>
            </w:r>
          </w:p>
        </w:tc>
        <w:tc>
          <w:tcPr>
            <w:tcW w:w="3096" w:type="dxa"/>
            <w:shd w:val="clear" w:color="auto" w:fill="F7FAFC"/>
            <w:tcMar>
              <w:top w:w="50" w:type="dxa"/>
              <w:left w:w="55" w:type="dxa"/>
              <w:bottom w:w="50" w:type="dxa"/>
              <w:right w:w="55" w:type="dxa"/>
            </w:tcMar>
          </w:tcPr>
          <w:p w14:paraId="5DBC8D2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Federal FCRA; Arkansas law evaluated only for factually distinct conduct</w:t>
            </w:r>
          </w:p>
        </w:tc>
        <w:tc>
          <w:tcPr>
            <w:tcW w:w="1080" w:type="dxa"/>
            <w:shd w:val="clear" w:color="auto" w:fill="F7FAFC"/>
            <w:tcMar>
              <w:top w:w="50" w:type="dxa"/>
              <w:left w:w="55" w:type="dxa"/>
              <w:bottom w:w="50" w:type="dxa"/>
              <w:right w:w="55" w:type="dxa"/>
            </w:tcMar>
          </w:tcPr>
          <w:p w14:paraId="25813C6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High</w:t>
            </w:r>
          </w:p>
        </w:tc>
        <w:tc>
          <w:tcPr>
            <w:tcW w:w="1224" w:type="dxa"/>
            <w:shd w:val="clear" w:color="auto" w:fill="F7FAFC"/>
            <w:tcMar>
              <w:top w:w="50" w:type="dxa"/>
              <w:left w:w="55" w:type="dxa"/>
              <w:bottom w:w="50" w:type="dxa"/>
              <w:right w:w="55" w:type="dxa"/>
            </w:tcMar>
          </w:tcPr>
          <w:p w14:paraId="69F7570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High</w:t>
            </w:r>
          </w:p>
        </w:tc>
        <w:tc>
          <w:tcPr>
            <w:tcW w:w="6768" w:type="dxa"/>
            <w:shd w:val="clear" w:color="auto" w:fill="F7FAFC"/>
            <w:tcMar>
              <w:top w:w="50" w:type="dxa"/>
              <w:left w:w="55" w:type="dxa"/>
              <w:bottom w:w="50" w:type="dxa"/>
              <w:right w:w="55" w:type="dxa"/>
            </w:tcMar>
          </w:tcPr>
          <w:p w14:paraId="50D3251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Use 15 U.S.C. § 1681s-2 framework and preserve the bureau-dispute notice trail.</w:t>
            </w:r>
          </w:p>
        </w:tc>
      </w:tr>
      <w:tr w:rsidR="00756B19" w:rsidRPr="00566B6A" w14:paraId="7CEFD54B" w14:textId="77777777">
        <w:trPr>
          <w:cantSplit/>
          <w:jc w:val="center"/>
        </w:trPr>
        <w:tc>
          <w:tcPr>
            <w:tcW w:w="2232" w:type="dxa"/>
            <w:tcMar>
              <w:top w:w="50" w:type="dxa"/>
              <w:left w:w="55" w:type="dxa"/>
              <w:bottom w:w="50" w:type="dxa"/>
              <w:right w:w="55" w:type="dxa"/>
            </w:tcMar>
          </w:tcPr>
          <w:p w14:paraId="5DBD47E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Identity-theft blocking</w:t>
            </w:r>
          </w:p>
        </w:tc>
        <w:tc>
          <w:tcPr>
            <w:tcW w:w="3096" w:type="dxa"/>
            <w:tcMar>
              <w:top w:w="50" w:type="dxa"/>
              <w:left w:w="55" w:type="dxa"/>
              <w:bottom w:w="50" w:type="dxa"/>
              <w:right w:w="55" w:type="dxa"/>
            </w:tcMar>
          </w:tcPr>
          <w:p w14:paraId="417CDD8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Ark. Code Ann. § 5-37-227</w:t>
            </w:r>
          </w:p>
        </w:tc>
        <w:tc>
          <w:tcPr>
            <w:tcW w:w="1080" w:type="dxa"/>
            <w:tcMar>
              <w:top w:w="50" w:type="dxa"/>
              <w:left w:w="55" w:type="dxa"/>
              <w:bottom w:w="50" w:type="dxa"/>
              <w:right w:w="55" w:type="dxa"/>
            </w:tcMar>
          </w:tcPr>
          <w:p w14:paraId="6E4C92F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Medium</w:t>
            </w:r>
          </w:p>
        </w:tc>
        <w:tc>
          <w:tcPr>
            <w:tcW w:w="1224" w:type="dxa"/>
            <w:tcMar>
              <w:top w:w="50" w:type="dxa"/>
              <w:left w:w="55" w:type="dxa"/>
              <w:bottom w:w="50" w:type="dxa"/>
              <w:right w:w="55" w:type="dxa"/>
            </w:tcMar>
          </w:tcPr>
          <w:p w14:paraId="0AAEC34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Low–Med</w:t>
            </w:r>
          </w:p>
        </w:tc>
        <w:tc>
          <w:tcPr>
            <w:tcW w:w="6768" w:type="dxa"/>
            <w:tcMar>
              <w:top w:w="50" w:type="dxa"/>
              <w:left w:w="55" w:type="dxa"/>
              <w:bottom w:w="50" w:type="dxa"/>
              <w:right w:w="55" w:type="dxa"/>
            </w:tcMar>
          </w:tcPr>
          <w:p w14:paraId="6D875C6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Document police and FTC reports, credit-restoration expenses, disputed accounts, creditor notices, and federal blocking requests.</w:t>
            </w:r>
          </w:p>
        </w:tc>
      </w:tr>
      <w:tr w:rsidR="00756B19" w:rsidRPr="00566B6A" w14:paraId="3C0A2B33" w14:textId="77777777">
        <w:trPr>
          <w:cantSplit/>
          <w:jc w:val="center"/>
        </w:trPr>
        <w:tc>
          <w:tcPr>
            <w:tcW w:w="2232" w:type="dxa"/>
            <w:shd w:val="clear" w:color="auto" w:fill="F7FAFC"/>
            <w:tcMar>
              <w:top w:w="50" w:type="dxa"/>
              <w:left w:w="55" w:type="dxa"/>
              <w:bottom w:w="50" w:type="dxa"/>
              <w:right w:w="55" w:type="dxa"/>
            </w:tcMar>
          </w:tcPr>
          <w:p w14:paraId="17D6995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Deceptive collection conduct</w:t>
            </w:r>
          </w:p>
        </w:tc>
        <w:tc>
          <w:tcPr>
            <w:tcW w:w="3096" w:type="dxa"/>
            <w:shd w:val="clear" w:color="auto" w:fill="F7FAFC"/>
            <w:tcMar>
              <w:top w:w="50" w:type="dxa"/>
              <w:left w:w="55" w:type="dxa"/>
              <w:bottom w:w="50" w:type="dxa"/>
              <w:right w:w="55" w:type="dxa"/>
            </w:tcMar>
          </w:tcPr>
          <w:p w14:paraId="1EC5FC5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Ark. Code Ann. §§ 17-24-501–512; federal FDCPA</w:t>
            </w:r>
          </w:p>
        </w:tc>
        <w:tc>
          <w:tcPr>
            <w:tcW w:w="1080" w:type="dxa"/>
            <w:shd w:val="clear" w:color="auto" w:fill="F7FAFC"/>
            <w:tcMar>
              <w:top w:w="50" w:type="dxa"/>
              <w:left w:w="55" w:type="dxa"/>
              <w:bottom w:w="50" w:type="dxa"/>
              <w:right w:w="55" w:type="dxa"/>
            </w:tcMar>
          </w:tcPr>
          <w:p w14:paraId="2C6D9B7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1224" w:type="dxa"/>
            <w:shd w:val="clear" w:color="auto" w:fill="F7FAFC"/>
            <w:tcMar>
              <w:top w:w="50" w:type="dxa"/>
              <w:left w:w="55" w:type="dxa"/>
              <w:bottom w:w="50" w:type="dxa"/>
              <w:right w:w="55" w:type="dxa"/>
            </w:tcMar>
          </w:tcPr>
          <w:p w14:paraId="03F247F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6768" w:type="dxa"/>
            <w:shd w:val="clear" w:color="auto" w:fill="F7FAFC"/>
            <w:tcMar>
              <w:top w:w="50" w:type="dxa"/>
              <w:left w:w="55" w:type="dxa"/>
              <w:bottom w:w="50" w:type="dxa"/>
              <w:right w:w="55" w:type="dxa"/>
            </w:tcMar>
          </w:tcPr>
          <w:p w14:paraId="00BF0AB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State Board or CFPB complaint; preserve communications, disputes, assignment documents, license information, venue, and fee calculations.</w:t>
            </w:r>
          </w:p>
        </w:tc>
      </w:tr>
      <w:tr w:rsidR="00756B19" w:rsidRPr="00566B6A" w14:paraId="6C632A57" w14:textId="77777777">
        <w:trPr>
          <w:cantSplit/>
          <w:jc w:val="center"/>
        </w:trPr>
        <w:tc>
          <w:tcPr>
            <w:tcW w:w="2232" w:type="dxa"/>
            <w:tcMar>
              <w:top w:w="50" w:type="dxa"/>
              <w:left w:w="55" w:type="dxa"/>
              <w:bottom w:w="50" w:type="dxa"/>
              <w:right w:w="55" w:type="dxa"/>
            </w:tcMar>
          </w:tcPr>
          <w:p w14:paraId="6D2829E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Security-freeze violations</w:t>
            </w:r>
          </w:p>
        </w:tc>
        <w:tc>
          <w:tcPr>
            <w:tcW w:w="3096" w:type="dxa"/>
            <w:tcMar>
              <w:top w:w="50" w:type="dxa"/>
              <w:left w:w="55" w:type="dxa"/>
              <w:bottom w:w="50" w:type="dxa"/>
              <w:right w:w="55" w:type="dxa"/>
            </w:tcMar>
          </w:tcPr>
          <w:p w14:paraId="38DB86B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Ark. Code Ann. §§ 4-112-101–114</w:t>
            </w:r>
          </w:p>
        </w:tc>
        <w:tc>
          <w:tcPr>
            <w:tcW w:w="1080" w:type="dxa"/>
            <w:tcMar>
              <w:top w:w="50" w:type="dxa"/>
              <w:left w:w="55" w:type="dxa"/>
              <w:bottom w:w="50" w:type="dxa"/>
              <w:right w:w="55" w:type="dxa"/>
            </w:tcMar>
          </w:tcPr>
          <w:p w14:paraId="58CAE1C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Medium</w:t>
            </w:r>
          </w:p>
        </w:tc>
        <w:tc>
          <w:tcPr>
            <w:tcW w:w="1224" w:type="dxa"/>
            <w:tcMar>
              <w:top w:w="50" w:type="dxa"/>
              <w:left w:w="55" w:type="dxa"/>
              <w:bottom w:w="50" w:type="dxa"/>
              <w:right w:w="55" w:type="dxa"/>
            </w:tcMar>
          </w:tcPr>
          <w:p w14:paraId="7A44994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6768" w:type="dxa"/>
            <w:tcMar>
              <w:top w:w="50" w:type="dxa"/>
              <w:left w:w="55" w:type="dxa"/>
              <w:bottom w:w="50" w:type="dxa"/>
              <w:right w:w="55" w:type="dxa"/>
            </w:tcMar>
          </w:tcPr>
          <w:p w14:paraId="34BA5BD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freeze confirmation, release history, lift or removal requests, notices, and resulting actual damages.</w:t>
            </w:r>
          </w:p>
        </w:tc>
      </w:tr>
      <w:tr w:rsidR="00756B19" w:rsidRPr="00566B6A" w14:paraId="3F8E56BF" w14:textId="77777777">
        <w:trPr>
          <w:cantSplit/>
          <w:jc w:val="center"/>
        </w:trPr>
        <w:tc>
          <w:tcPr>
            <w:tcW w:w="2232" w:type="dxa"/>
            <w:shd w:val="clear" w:color="auto" w:fill="F7FAFC"/>
            <w:tcMar>
              <w:top w:w="50" w:type="dxa"/>
              <w:left w:w="55" w:type="dxa"/>
              <w:bottom w:w="50" w:type="dxa"/>
              <w:right w:w="55" w:type="dxa"/>
            </w:tcMar>
          </w:tcPr>
          <w:p w14:paraId="335C2B8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lastRenderedPageBreak/>
              <w:t>Data breach / privacy</w:t>
            </w:r>
          </w:p>
        </w:tc>
        <w:tc>
          <w:tcPr>
            <w:tcW w:w="3096" w:type="dxa"/>
            <w:shd w:val="clear" w:color="auto" w:fill="F7FAFC"/>
            <w:tcMar>
              <w:top w:w="50" w:type="dxa"/>
              <w:left w:w="55" w:type="dxa"/>
              <w:bottom w:w="50" w:type="dxa"/>
              <w:right w:w="55" w:type="dxa"/>
            </w:tcMar>
          </w:tcPr>
          <w:p w14:paraId="71FE2D9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Ark. Code Ann. §§ 4-110-101–108</w:t>
            </w:r>
          </w:p>
        </w:tc>
        <w:tc>
          <w:tcPr>
            <w:tcW w:w="1080" w:type="dxa"/>
            <w:shd w:val="clear" w:color="auto" w:fill="F7FAFC"/>
            <w:tcMar>
              <w:top w:w="50" w:type="dxa"/>
              <w:left w:w="55" w:type="dxa"/>
              <w:bottom w:w="50" w:type="dxa"/>
              <w:right w:w="55" w:type="dxa"/>
            </w:tcMar>
          </w:tcPr>
          <w:p w14:paraId="3F289E8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1224" w:type="dxa"/>
            <w:shd w:val="clear" w:color="auto" w:fill="F7FAFC"/>
            <w:tcMar>
              <w:top w:w="50" w:type="dxa"/>
              <w:left w:w="55" w:type="dxa"/>
              <w:bottom w:w="50" w:type="dxa"/>
              <w:right w:w="55" w:type="dxa"/>
            </w:tcMar>
          </w:tcPr>
          <w:p w14:paraId="1456676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6768" w:type="dxa"/>
            <w:shd w:val="clear" w:color="auto" w:fill="F7FAFC"/>
            <w:tcMar>
              <w:top w:w="50" w:type="dxa"/>
              <w:left w:w="55" w:type="dxa"/>
              <w:bottom w:w="50" w:type="dxa"/>
              <w:right w:w="55" w:type="dxa"/>
            </w:tcMar>
          </w:tcPr>
          <w:p w14:paraId="51C9A36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Keep risk assessment, breach notice, affected data, dates, Attorney General notice, and remediation records.</w:t>
            </w:r>
          </w:p>
        </w:tc>
      </w:tr>
      <w:tr w:rsidR="00756B19" w:rsidRPr="00566B6A" w14:paraId="08555920" w14:textId="77777777">
        <w:trPr>
          <w:cantSplit/>
          <w:jc w:val="center"/>
        </w:trPr>
        <w:tc>
          <w:tcPr>
            <w:tcW w:w="2232" w:type="dxa"/>
            <w:tcMar>
              <w:top w:w="50" w:type="dxa"/>
              <w:left w:w="55" w:type="dxa"/>
              <w:bottom w:w="50" w:type="dxa"/>
              <w:right w:w="55" w:type="dxa"/>
            </w:tcMar>
          </w:tcPr>
          <w:p w14:paraId="52A2BD4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UDAP deceptive practices</w:t>
            </w:r>
          </w:p>
        </w:tc>
        <w:tc>
          <w:tcPr>
            <w:tcW w:w="3096" w:type="dxa"/>
            <w:tcMar>
              <w:top w:w="50" w:type="dxa"/>
              <w:left w:w="55" w:type="dxa"/>
              <w:bottom w:w="50" w:type="dxa"/>
              <w:right w:w="55" w:type="dxa"/>
            </w:tcMar>
          </w:tcPr>
          <w:p w14:paraId="4844D34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ADTPA, Ark. Code Ann. §§ 4-88-101–115</w:t>
            </w:r>
          </w:p>
        </w:tc>
        <w:tc>
          <w:tcPr>
            <w:tcW w:w="1080" w:type="dxa"/>
            <w:tcMar>
              <w:top w:w="50" w:type="dxa"/>
              <w:left w:w="55" w:type="dxa"/>
              <w:bottom w:w="50" w:type="dxa"/>
              <w:right w:w="55" w:type="dxa"/>
            </w:tcMar>
          </w:tcPr>
          <w:p w14:paraId="1369BC8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1224" w:type="dxa"/>
            <w:tcMar>
              <w:top w:w="50" w:type="dxa"/>
              <w:left w:w="55" w:type="dxa"/>
              <w:bottom w:w="50" w:type="dxa"/>
              <w:right w:w="55" w:type="dxa"/>
            </w:tcMar>
          </w:tcPr>
          <w:p w14:paraId="5A73802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Low–Med</w:t>
            </w:r>
          </w:p>
        </w:tc>
        <w:tc>
          <w:tcPr>
            <w:tcW w:w="6768" w:type="dxa"/>
            <w:tcMar>
              <w:top w:w="50" w:type="dxa"/>
              <w:left w:w="55" w:type="dxa"/>
              <w:bottom w:w="50" w:type="dxa"/>
              <w:right w:w="55" w:type="dxa"/>
            </w:tcMar>
          </w:tcPr>
          <w:p w14:paraId="1C085FF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Frame a distinct unlawful practice, individual reliance, proximate causation, actual financial loss, and five-year limitations chronology.</w:t>
            </w:r>
          </w:p>
        </w:tc>
      </w:tr>
    </w:tbl>
    <w:p w14:paraId="4D48D96C" w14:textId="77777777" w:rsidR="00756B19" w:rsidRPr="00566B6A" w:rsidRDefault="00756B19">
      <w:pPr>
        <w:spacing w:after="20"/>
        <w:rPr>
          <w:rFonts w:ascii="Courier New" w:hAnsi="Courier New" w:cs="Courier New"/>
          <w:sz w:val="22"/>
        </w:rPr>
      </w:pPr>
    </w:p>
    <w:p w14:paraId="7EC9D1EE"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Safer zones (generally):</w:t>
      </w:r>
      <w:r w:rsidRPr="00566B6A">
        <w:rPr>
          <w:rFonts w:ascii="Courier New" w:hAnsi="Courier New" w:cs="Courier New"/>
          <w:sz w:val="22"/>
        </w:rPr>
        <w:t xml:space="preserve"> identity-theft conduct, deceptive collection communications, security-freeze violations, breach-notification duties, and Arkansas ADTPA deception that is factually distinct from CRA or furnisher reporting obligations.</w:t>
      </w:r>
    </w:p>
    <w:p w14:paraId="1F87A587"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Risky zones (generally): Arkansas claims that attempt to impose accuracy, reinvestigation, or furnishing duties parallel to the FCRA.</w:t>
      </w:r>
    </w:p>
    <w:p w14:paraId="31E5EE81" w14:textId="77777777" w:rsidR="00756B19" w:rsidRPr="00566B6A" w:rsidRDefault="00F247EE">
      <w:pPr>
        <w:spacing w:after="60"/>
        <w:rPr>
          <w:rFonts w:ascii="Courier New" w:hAnsi="Courier New" w:cs="Courier New"/>
          <w:sz w:val="22"/>
        </w:rPr>
      </w:pPr>
      <w:r w:rsidRPr="00566B6A">
        <w:rPr>
          <w:rFonts w:ascii="Courier New" w:hAnsi="Courier New" w:cs="Courier New"/>
          <w:i/>
          <w:sz w:val="22"/>
        </w:rPr>
        <w:t>No legal conclusions or outcome predictions are provided.</w:t>
      </w:r>
    </w:p>
    <w:p w14:paraId="5CFBA91F"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D — STATE-FIRST FACT-FINDING STRATEGY (IMPLEMENTATION PLAYBOOK)</w:t>
      </w:r>
    </w:p>
    <w:p w14:paraId="3D93F76F"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1 — </w:t>
      </w:r>
      <w:r w:rsidRPr="00566B6A">
        <w:rPr>
          <w:rFonts w:ascii="Courier New" w:hAnsi="Courier New" w:cs="Courier New"/>
          <w:sz w:val="22"/>
        </w:rPr>
        <w:t>Review credit reports for inaccuracies line-by-line against the bureau PDFs.</w:t>
      </w:r>
    </w:p>
    <w:p w14:paraId="708829C0"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2 — </w:t>
      </w:r>
      <w:r w:rsidRPr="00566B6A">
        <w:rPr>
          <w:rFonts w:ascii="Courier New" w:hAnsi="Courier New" w:cs="Courier New"/>
          <w:sz w:val="22"/>
        </w:rPr>
        <w:t>Submit written CRA and furnisher disputes with proof of service, using certified mail or verifiable electronic proof.</w:t>
      </w:r>
    </w:p>
    <w:p w14:paraId="32B68F15"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3 — </w:t>
      </w:r>
      <w:r w:rsidRPr="00566B6A">
        <w:rPr>
          <w:rFonts w:ascii="Courier New" w:hAnsi="Courier New" w:cs="Courier New"/>
          <w:sz w:val="22"/>
        </w:rPr>
        <w:t>Request and preserve the contract, ledger, date-of-first-delinquency support, ownership chain, inquiry logs, and account-level data.</w:t>
      </w:r>
    </w:p>
    <w:p w14:paraId="209BD480"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4 — </w:t>
      </w:r>
      <w:r w:rsidRPr="00566B6A">
        <w:rPr>
          <w:rFonts w:ascii="Courier New" w:hAnsi="Courier New" w:cs="Courier New"/>
          <w:sz w:val="22"/>
        </w:rPr>
        <w:t>Submit a method-of-verification or verification-description request under 15 U.S.C. § 1681i(a)(6), where applicable.</w:t>
      </w:r>
    </w:p>
    <w:p w14:paraId="1533EB00"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5 — </w:t>
      </w:r>
      <w:r w:rsidRPr="00566B6A">
        <w:rPr>
          <w:rFonts w:ascii="Courier New" w:hAnsi="Courier New" w:cs="Courier New"/>
          <w:sz w:val="22"/>
        </w:rPr>
        <w:t>File an Arkansas complaint with the Attorney General, State Board of Collection Agencies, or State Bank Department as the subject and agency jurisdiction require; retain confirmation numbers.</w:t>
      </w:r>
    </w:p>
    <w:p w14:paraId="03CB10D5"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6 — </w:t>
      </w:r>
      <w:r w:rsidRPr="00566B6A">
        <w:rPr>
          <w:rFonts w:ascii="Courier New" w:hAnsi="Courier New" w:cs="Courier New"/>
          <w:sz w:val="22"/>
        </w:rPr>
        <w:t>Preserve agency responses and index all events chronologically.</w:t>
      </w:r>
    </w:p>
    <w:p w14:paraId="205166D7"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7 — </w:t>
      </w:r>
      <w:r w:rsidRPr="00566B6A">
        <w:rPr>
          <w:rFonts w:ascii="Courier New" w:hAnsi="Courier New" w:cs="Courier New"/>
          <w:sz w:val="22"/>
        </w:rPr>
        <w:t>Escalate unresolved federal issues to the CFPB or FTC after state intake, where appropriate.</w:t>
      </w:r>
    </w:p>
    <w:p w14:paraId="6DE30711" w14:textId="77777777" w:rsidR="00756B19" w:rsidRDefault="00F247EE">
      <w:pPr>
        <w:ind w:left="72"/>
        <w:rPr>
          <w:rFonts w:ascii="Courier New" w:hAnsi="Courier New" w:cs="Courier New"/>
          <w:sz w:val="22"/>
        </w:rPr>
      </w:pPr>
      <w:r w:rsidRPr="00566B6A">
        <w:rPr>
          <w:rFonts w:ascii="Courier New" w:hAnsi="Courier New" w:cs="Courier New"/>
          <w:b/>
          <w:sz w:val="22"/>
        </w:rPr>
        <w:t xml:space="preserve">Step 8 — </w:t>
      </w:r>
      <w:r w:rsidRPr="00566B6A">
        <w:rPr>
          <w:rFonts w:ascii="Courier New" w:hAnsi="Courier New" w:cs="Courier New"/>
          <w:sz w:val="22"/>
        </w:rPr>
        <w:t>Maintain an evidence index with exhibit labels (A-1, A-2, …).</w:t>
      </w:r>
    </w:p>
    <w:p w14:paraId="116CE4F4" w14:textId="77777777" w:rsidR="00964317" w:rsidRPr="00566B6A" w:rsidRDefault="00964317">
      <w:pPr>
        <w:ind w:left="72"/>
        <w:rPr>
          <w:rFonts w:ascii="Courier New" w:hAnsi="Courier New" w:cs="Courier New"/>
          <w:sz w:val="22"/>
        </w:rPr>
      </w:pPr>
    </w:p>
    <w:p w14:paraId="39930386" w14:textId="77777777" w:rsidR="00756B19" w:rsidRDefault="00F247EE">
      <w:pPr>
        <w:pStyle w:val="Heading2"/>
        <w:spacing w:before="100" w:after="40"/>
        <w:rPr>
          <w:rFonts w:ascii="Courier New" w:eastAsia="Arial" w:hAnsi="Courier New" w:cs="Courier New"/>
          <w:color w:val="auto"/>
          <w:sz w:val="22"/>
          <w:szCs w:val="22"/>
        </w:rPr>
      </w:pPr>
      <w:r w:rsidRPr="00566B6A">
        <w:rPr>
          <w:rFonts w:ascii="Courier New" w:eastAsia="Arial" w:hAnsi="Courier New" w:cs="Courier New"/>
          <w:color w:val="auto"/>
          <w:sz w:val="22"/>
          <w:szCs w:val="22"/>
        </w:rPr>
        <w:lastRenderedPageBreak/>
        <w:t>STATE Record → FCRA Element Mapping (Educational)</w:t>
      </w:r>
    </w:p>
    <w:p w14:paraId="7AD968F4" w14:textId="77777777" w:rsidR="00964317" w:rsidRPr="00964317" w:rsidRDefault="00964317" w:rsidP="00964317"/>
    <w:tbl>
      <w:tblPr>
        <w:tblStyle w:val="TableGrid"/>
        <w:tblW w:w="0" w:type="auto"/>
        <w:jc w:val="center"/>
        <w:tblLayout w:type="fixed"/>
        <w:tblLook w:val="04A0" w:firstRow="1" w:lastRow="0" w:firstColumn="1" w:lastColumn="0" w:noHBand="0" w:noVBand="1"/>
      </w:tblPr>
      <w:tblGrid>
        <w:gridCol w:w="6048"/>
        <w:gridCol w:w="8352"/>
      </w:tblGrid>
      <w:tr w:rsidR="00756B19" w:rsidRPr="00566B6A" w14:paraId="23D1468C" w14:textId="77777777">
        <w:trPr>
          <w:cantSplit/>
          <w:tblHeader/>
          <w:jc w:val="center"/>
        </w:trPr>
        <w:tc>
          <w:tcPr>
            <w:tcW w:w="6048" w:type="dxa"/>
            <w:shd w:val="clear" w:color="auto" w:fill="D9EAF7"/>
            <w:tcMar>
              <w:top w:w="55" w:type="dxa"/>
              <w:left w:w="55" w:type="dxa"/>
              <w:bottom w:w="55" w:type="dxa"/>
              <w:right w:w="55" w:type="dxa"/>
            </w:tcMar>
            <w:vAlign w:val="center"/>
          </w:tcPr>
          <w:p w14:paraId="57FAF855"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Administrative Record Item</w:t>
            </w:r>
          </w:p>
        </w:tc>
        <w:tc>
          <w:tcPr>
            <w:tcW w:w="8352" w:type="dxa"/>
            <w:shd w:val="clear" w:color="auto" w:fill="D9EAF7"/>
            <w:tcMar>
              <w:top w:w="55" w:type="dxa"/>
              <w:left w:w="55" w:type="dxa"/>
              <w:bottom w:w="55" w:type="dxa"/>
              <w:right w:w="55" w:type="dxa"/>
            </w:tcMar>
            <w:vAlign w:val="center"/>
          </w:tcPr>
          <w:p w14:paraId="5215A7C0"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FCRA / State-Law Element Supported</w:t>
            </w:r>
          </w:p>
        </w:tc>
      </w:tr>
      <w:tr w:rsidR="00756B19" w:rsidRPr="00566B6A" w14:paraId="67E5BD99" w14:textId="77777777">
        <w:trPr>
          <w:cantSplit/>
          <w:jc w:val="center"/>
        </w:trPr>
        <w:tc>
          <w:tcPr>
            <w:tcW w:w="6048" w:type="dxa"/>
            <w:tcMar>
              <w:top w:w="50" w:type="dxa"/>
              <w:left w:w="55" w:type="dxa"/>
              <w:bottom w:w="50" w:type="dxa"/>
              <w:right w:w="55" w:type="dxa"/>
            </w:tcMar>
          </w:tcPr>
          <w:p w14:paraId="2E8C1B8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Dated dispute + proof of service</w:t>
            </w:r>
          </w:p>
        </w:tc>
        <w:tc>
          <w:tcPr>
            <w:tcW w:w="8352" w:type="dxa"/>
            <w:tcMar>
              <w:top w:w="50" w:type="dxa"/>
              <w:left w:w="55" w:type="dxa"/>
              <w:bottom w:w="50" w:type="dxa"/>
              <w:right w:w="55" w:type="dxa"/>
            </w:tcMar>
          </w:tcPr>
          <w:p w14:paraId="5008425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Notice and dispute initiation</w:t>
            </w:r>
          </w:p>
        </w:tc>
      </w:tr>
      <w:tr w:rsidR="00756B19" w:rsidRPr="00566B6A" w14:paraId="55F078A6" w14:textId="77777777">
        <w:trPr>
          <w:cantSplit/>
          <w:jc w:val="center"/>
        </w:trPr>
        <w:tc>
          <w:tcPr>
            <w:tcW w:w="6048" w:type="dxa"/>
            <w:shd w:val="clear" w:color="auto" w:fill="F7FAFC"/>
            <w:tcMar>
              <w:top w:w="50" w:type="dxa"/>
              <w:left w:w="55" w:type="dxa"/>
              <w:bottom w:w="50" w:type="dxa"/>
              <w:right w:w="55" w:type="dxa"/>
            </w:tcMar>
          </w:tcPr>
          <w:p w14:paraId="73A7870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CRA response + method-of-verification disclosure</w:t>
            </w:r>
          </w:p>
        </w:tc>
        <w:tc>
          <w:tcPr>
            <w:tcW w:w="8352" w:type="dxa"/>
            <w:shd w:val="clear" w:color="auto" w:fill="F7FAFC"/>
            <w:tcMar>
              <w:top w:w="50" w:type="dxa"/>
              <w:left w:w="55" w:type="dxa"/>
              <w:bottom w:w="50" w:type="dxa"/>
              <w:right w:w="55" w:type="dxa"/>
            </w:tcMar>
          </w:tcPr>
          <w:p w14:paraId="7CF4C9D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Reasonableness and procedure transparency</w:t>
            </w:r>
          </w:p>
        </w:tc>
      </w:tr>
      <w:tr w:rsidR="00756B19" w:rsidRPr="00566B6A" w14:paraId="123FB0A1" w14:textId="77777777">
        <w:trPr>
          <w:cantSplit/>
          <w:jc w:val="center"/>
        </w:trPr>
        <w:tc>
          <w:tcPr>
            <w:tcW w:w="6048" w:type="dxa"/>
            <w:tcMar>
              <w:top w:w="50" w:type="dxa"/>
              <w:left w:w="55" w:type="dxa"/>
              <w:bottom w:w="50" w:type="dxa"/>
              <w:right w:w="55" w:type="dxa"/>
            </w:tcMar>
          </w:tcPr>
          <w:p w14:paraId="05516B0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Furnisher silence or generic verification</w:t>
            </w:r>
          </w:p>
        </w:tc>
        <w:tc>
          <w:tcPr>
            <w:tcW w:w="8352" w:type="dxa"/>
            <w:tcMar>
              <w:top w:w="50" w:type="dxa"/>
              <w:left w:w="55" w:type="dxa"/>
              <w:bottom w:w="50" w:type="dxa"/>
              <w:right w:w="55" w:type="dxa"/>
            </w:tcMar>
          </w:tcPr>
          <w:p w14:paraId="1F837C2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Potential deficiency requiring further documentation; no liability conclusion</w:t>
            </w:r>
          </w:p>
        </w:tc>
      </w:tr>
      <w:tr w:rsidR="00756B19" w:rsidRPr="00566B6A" w14:paraId="20BCF233" w14:textId="77777777">
        <w:trPr>
          <w:cantSplit/>
          <w:jc w:val="center"/>
        </w:trPr>
        <w:tc>
          <w:tcPr>
            <w:tcW w:w="6048" w:type="dxa"/>
            <w:shd w:val="clear" w:color="auto" w:fill="F7FAFC"/>
            <w:tcMar>
              <w:top w:w="50" w:type="dxa"/>
              <w:left w:w="55" w:type="dxa"/>
              <w:bottom w:w="50" w:type="dxa"/>
              <w:right w:w="55" w:type="dxa"/>
            </w:tcMar>
          </w:tcPr>
          <w:p w14:paraId="3067C1A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Arkansas AG / State Board / Bank Department complaint + agency ID</w:t>
            </w:r>
          </w:p>
        </w:tc>
        <w:tc>
          <w:tcPr>
            <w:tcW w:w="8352" w:type="dxa"/>
            <w:shd w:val="clear" w:color="auto" w:fill="F7FAFC"/>
            <w:tcMar>
              <w:top w:w="50" w:type="dxa"/>
              <w:left w:w="55" w:type="dxa"/>
              <w:bottom w:w="50" w:type="dxa"/>
              <w:right w:w="55" w:type="dxa"/>
            </w:tcMar>
          </w:tcPr>
          <w:p w14:paraId="177C906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Chronology, notice, and administrative record-building</w:t>
            </w:r>
          </w:p>
        </w:tc>
      </w:tr>
      <w:tr w:rsidR="00756B19" w:rsidRPr="00566B6A" w14:paraId="05D5AA94" w14:textId="77777777">
        <w:trPr>
          <w:cantSplit/>
          <w:jc w:val="center"/>
        </w:trPr>
        <w:tc>
          <w:tcPr>
            <w:tcW w:w="6048" w:type="dxa"/>
            <w:tcMar>
              <w:top w:w="50" w:type="dxa"/>
              <w:left w:w="55" w:type="dxa"/>
              <w:bottom w:w="50" w:type="dxa"/>
              <w:right w:w="55" w:type="dxa"/>
            </w:tcMar>
          </w:tcPr>
          <w:p w14:paraId="0BA4512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Identity-theft affidavit + police/FTC report</w:t>
            </w:r>
          </w:p>
        </w:tc>
        <w:tc>
          <w:tcPr>
            <w:tcW w:w="8352" w:type="dxa"/>
            <w:tcMar>
              <w:top w:w="50" w:type="dxa"/>
              <w:left w:w="55" w:type="dxa"/>
              <w:bottom w:w="50" w:type="dxa"/>
              <w:right w:w="55" w:type="dxa"/>
            </w:tcMar>
          </w:tcPr>
          <w:p w14:paraId="39C997E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Blocking, fraud-alert, and identity-restoration procedures</w:t>
            </w:r>
          </w:p>
        </w:tc>
      </w:tr>
      <w:tr w:rsidR="00756B19" w:rsidRPr="00566B6A" w14:paraId="0344971C" w14:textId="77777777">
        <w:trPr>
          <w:cantSplit/>
          <w:jc w:val="center"/>
        </w:trPr>
        <w:tc>
          <w:tcPr>
            <w:tcW w:w="6048" w:type="dxa"/>
            <w:shd w:val="clear" w:color="auto" w:fill="F7FAFC"/>
            <w:tcMar>
              <w:top w:w="50" w:type="dxa"/>
              <w:left w:w="55" w:type="dxa"/>
              <w:bottom w:w="50" w:type="dxa"/>
              <w:right w:w="55" w:type="dxa"/>
            </w:tcMar>
          </w:tcPr>
          <w:p w14:paraId="70FD969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Ledger / date-of-first-delinquency documentation gaps</w:t>
            </w:r>
          </w:p>
        </w:tc>
        <w:tc>
          <w:tcPr>
            <w:tcW w:w="8352" w:type="dxa"/>
            <w:shd w:val="clear" w:color="auto" w:fill="F7FAFC"/>
            <w:tcMar>
              <w:top w:w="50" w:type="dxa"/>
              <w:left w:w="55" w:type="dxa"/>
              <w:bottom w:w="50" w:type="dxa"/>
              <w:right w:w="55" w:type="dxa"/>
            </w:tcMar>
          </w:tcPr>
          <w:p w14:paraId="4B86890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Accuracy and completeness questions</w:t>
            </w:r>
          </w:p>
        </w:tc>
      </w:tr>
      <w:tr w:rsidR="00756B19" w:rsidRPr="00566B6A" w14:paraId="25FBD96C" w14:textId="77777777">
        <w:trPr>
          <w:cantSplit/>
          <w:jc w:val="center"/>
        </w:trPr>
        <w:tc>
          <w:tcPr>
            <w:tcW w:w="6048" w:type="dxa"/>
            <w:tcMar>
              <w:top w:w="50" w:type="dxa"/>
              <w:left w:w="55" w:type="dxa"/>
              <w:bottom w:w="50" w:type="dxa"/>
              <w:right w:w="55" w:type="dxa"/>
            </w:tcMar>
          </w:tcPr>
          <w:p w14:paraId="7965C96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ADTPA reliance, actual-financial-loss, and limitations evidence</w:t>
            </w:r>
          </w:p>
        </w:tc>
        <w:tc>
          <w:tcPr>
            <w:tcW w:w="8352" w:type="dxa"/>
            <w:tcMar>
              <w:top w:w="50" w:type="dxa"/>
              <w:left w:w="55" w:type="dxa"/>
              <w:bottom w:w="50" w:type="dxa"/>
              <w:right w:w="55" w:type="dxa"/>
            </w:tcMar>
          </w:tcPr>
          <w:p w14:paraId="50ECC2D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Unlawful practice, individual reliance, proximate causation, actual financial loss, and five-year timing</w:t>
            </w:r>
          </w:p>
        </w:tc>
      </w:tr>
    </w:tbl>
    <w:p w14:paraId="49D0CEDD" w14:textId="77777777" w:rsidR="00756B19" w:rsidRPr="00566B6A" w:rsidRDefault="00756B19">
      <w:pPr>
        <w:spacing w:after="20"/>
        <w:rPr>
          <w:rFonts w:ascii="Courier New" w:hAnsi="Courier New" w:cs="Courier New"/>
          <w:sz w:val="22"/>
        </w:rPr>
      </w:pPr>
    </w:p>
    <w:p w14:paraId="6A9CCAD3"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E — PROCEDURAL ENFORCEMENT TOOLS (NON-ACCUSATORY)</w:t>
      </w:r>
    </w:p>
    <w:p w14:paraId="1C1DF8FD"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Method-of-verification / verification-description request</w:t>
      </w:r>
    </w:p>
    <w:p w14:paraId="44E5D0CF"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Permissible-purpose request concerning inquiries and file access</w:t>
      </w:r>
    </w:p>
    <w:p w14:paraId="3F88794E"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Ledger, balance-validation, and date-of-first-delinquency support request</w:t>
      </w:r>
    </w:p>
    <w:p w14:paraId="71A27296"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Liability-classification review: personal obligor, authorized user, guarantor, or business signer</w:t>
      </w:r>
    </w:p>
    <w:p w14:paraId="0012C8C0"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Identity-integrity review: addresses, aliases, mixed-file indicators, and identity-theft markers</w:t>
      </w:r>
    </w:p>
    <w:p w14:paraId="6BAC22B9"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Arkansas ADTPA actual-financial-loss, reliance, causation, and five-year limitations review when a qualifying unlawful practice is documented</w:t>
      </w:r>
    </w:p>
    <w:p w14:paraId="45BCFD28"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Collection-agency license, assignment, venue, and Arkansas State Board of Collection Agencies jurisdiction review</w:t>
      </w:r>
    </w:p>
    <w:p w14:paraId="7E48C902"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Findings-rejection protocol when an item is marked “verified” without a disclosed methodology</w:t>
      </w:r>
    </w:p>
    <w:p w14:paraId="49545DFE"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Emphasize objective evidence.</w:t>
      </w:r>
      <w:r w:rsidRPr="00566B6A">
        <w:rPr>
          <w:rFonts w:ascii="Courier New" w:hAnsi="Courier New" w:cs="Courier New"/>
          <w:sz w:val="22"/>
        </w:rPr>
        <w:t xml:space="preserve"> Avoid accusatory language, unsupported liability conclusions, and assumptions of wrongdoing.</w:t>
      </w:r>
    </w:p>
    <w:p w14:paraId="44A6B450"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lastRenderedPageBreak/>
        <w:t>PART F — STATE-SPECIFIC MODULE (AUTO-INJECT, REQUIRED)</w:t>
      </w:r>
    </w:p>
    <w:p w14:paraId="4A602F23"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Jurisdiction:</w:t>
      </w:r>
      <w:r w:rsidRPr="00566B6A">
        <w:rPr>
          <w:rFonts w:ascii="Courier New" w:hAnsi="Courier New" w:cs="Courier New"/>
          <w:sz w:val="22"/>
        </w:rPr>
        <w:t xml:space="preserve"> Arkansas (AR)</w:t>
      </w:r>
    </w:p>
    <w:p w14:paraId="66FD35E4"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Statutes / Acts</w:t>
      </w:r>
    </w:p>
    <w:p w14:paraId="1B09666A"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Arkansas Deceptive Trade Practices Act (ADTPA) | </w:t>
      </w:r>
      <w:r w:rsidRPr="00566B6A">
        <w:rPr>
          <w:rFonts w:ascii="Courier New" w:hAnsi="Courier New" w:cs="Courier New"/>
          <w:sz w:val="22"/>
        </w:rPr>
        <w:t>Ark. Code Ann. §§ 4-88-101 through 4-88-115 | Remedies: actual financial loss proximately caused by reliance for qualifying private claims; discretionary reasonable attorney’s fees; Attorney General injunction, restitution, civil penalties, and related relief. | Authority: Arkansas Attorney General / courts.</w:t>
      </w:r>
    </w:p>
    <w:p w14:paraId="52AAAA47"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Arkansas Collection Agencies Law and Fair Debt Collection Practices Act | </w:t>
      </w:r>
      <w:r w:rsidRPr="00566B6A">
        <w:rPr>
          <w:rFonts w:ascii="Courier New" w:hAnsi="Courier New" w:cs="Courier New"/>
          <w:sz w:val="22"/>
        </w:rPr>
        <w:t>Ark. Code Ann. §§ 17-24-101 through 17-24-512, including §§ 17-24-501 through 17-24-512 | Remedies: licensing and discipline; actual damages, additional individual damages up to $1,000, costs, and reasonable attorney’s fees for qualifying AFDCPA claims; one-year AFDCPA limitations period. | Authority: Arkansas State Board of Collection Agencies / courts.</w:t>
      </w:r>
    </w:p>
    <w:p w14:paraId="7853415A"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Arkansas Consumer Report Security Freeze Act | </w:t>
      </w:r>
      <w:r w:rsidRPr="00566B6A">
        <w:rPr>
          <w:rFonts w:ascii="Courier New" w:hAnsi="Courier New" w:cs="Courier New"/>
          <w:sz w:val="22"/>
        </w:rPr>
        <w:t>Ark. Code Ann. §§ 4-112-101 through 4-112-114 | Remedies: actual damages, costs, and reasonable attorney’s fees for qualifying willful or negligent noncompliance; ADTPA enforcement and Attorney General remedies. | Authority: courts / Arkansas Attorney General / consumer reporting agencies under state and federal coordination.</w:t>
      </w:r>
    </w:p>
    <w:p w14:paraId="2CFF188D"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Arkansas Personal Information Protection Act | </w:t>
      </w:r>
      <w:r w:rsidRPr="00566B6A">
        <w:rPr>
          <w:rFonts w:ascii="Courier New" w:hAnsi="Courier New" w:cs="Courier New"/>
          <w:sz w:val="22"/>
        </w:rPr>
        <w:t>Ark. Code Ann. §§ 4-110-101 through 4-110-108 | Remedies: Attorney General enforcement under the ADTPA and required security, investigation, and notification procedures. | Authority: Arkansas Attorney General.</w:t>
      </w:r>
    </w:p>
    <w:p w14:paraId="515DA0A1"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Arkansas Financial and Nonfinancial Identity Fraud | </w:t>
      </w:r>
      <w:r w:rsidRPr="00566B6A">
        <w:rPr>
          <w:rFonts w:ascii="Courier New" w:hAnsi="Courier New" w:cs="Courier New"/>
          <w:sz w:val="22"/>
        </w:rPr>
        <w:t>Ark. Code Ann. § 5-37-227 | Remedies: criminal penalties, restitution for qualifying credit-restoration and proceeding costs, ADTPA enforcement, and otherwise available civil remedies. | Authority: law enforcement / courts / Arkansas Attorney General.</w:t>
      </w:r>
    </w:p>
    <w:p w14:paraId="0FE81E4D"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Regulations</w:t>
      </w:r>
    </w:p>
    <w:p w14:paraId="56DF3355"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Arkansas State Board of Collection Agencies Rules — </w:t>
      </w:r>
      <w:r w:rsidRPr="00566B6A">
        <w:rPr>
          <w:rFonts w:ascii="Courier New" w:hAnsi="Courier New" w:cs="Courier New"/>
          <w:sz w:val="22"/>
        </w:rPr>
        <w:t>consult the Board’s current rules governing licensing, bonds, records, communications, complaints, examinations, and discipline. Verify the exact rule number and current effective date before filing or relying on a rule.</w:t>
      </w:r>
    </w:p>
    <w:p w14:paraId="4BC12908"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Policies / Guidance</w:t>
      </w:r>
    </w:p>
    <w:p w14:paraId="4C4FF9FD"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Arkansas Attorney General — Consumer Protection Division / Public Protection Division: </w:t>
      </w:r>
      <w:r w:rsidRPr="00566B6A">
        <w:rPr>
          <w:rFonts w:ascii="Courier New" w:hAnsi="Courier New" w:cs="Courier New"/>
          <w:sz w:val="22"/>
        </w:rPr>
        <w:t>consumer complaint intake, consumer education, and ADTPA enforcement guidance.</w:t>
      </w:r>
    </w:p>
    <w:p w14:paraId="33362FD5"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Arkansas State Board of Collection Agencies: </w:t>
      </w:r>
      <w:r w:rsidRPr="00566B6A">
        <w:rPr>
          <w:rFonts w:ascii="Courier New" w:hAnsi="Courier New" w:cs="Courier New"/>
          <w:sz w:val="22"/>
        </w:rPr>
        <w:t>complaint procedures, license lookup, examinations, and licensed-collector oversight.</w:t>
      </w:r>
    </w:p>
    <w:p w14:paraId="40D5DED0"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lastRenderedPageBreak/>
        <w:t xml:space="preserve">Arkansas State Bank Department: </w:t>
      </w:r>
      <w:r w:rsidRPr="00566B6A">
        <w:rPr>
          <w:rFonts w:ascii="Courier New" w:hAnsi="Courier New" w:cs="Courier New"/>
          <w:sz w:val="22"/>
        </w:rPr>
        <w:t>consumer complaint pathway for Arkansas-chartered banks and other state-supervised financial institutions within its jurisdiction.</w:t>
      </w:r>
    </w:p>
    <w:p w14:paraId="67D1A2A2"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Ordinances</w:t>
      </w:r>
    </w:p>
    <w:p w14:paraId="70590F38" w14:textId="77777777" w:rsidR="00756B19" w:rsidRDefault="00F247EE">
      <w:pPr>
        <w:spacing w:after="60"/>
        <w:rPr>
          <w:rFonts w:ascii="Courier New" w:hAnsi="Courier New" w:cs="Courier New"/>
          <w:sz w:val="22"/>
        </w:rPr>
      </w:pPr>
      <w:r w:rsidRPr="00566B6A">
        <w:rPr>
          <w:rFonts w:ascii="Courier New" w:hAnsi="Courier New" w:cs="Courier New"/>
          <w:sz w:val="22"/>
        </w:rPr>
        <w:t>Local ordinances are not typically the controlling authority for credit-reporting disputes; none are identified as directly applicable in Arkansas without municipal verification.</w:t>
      </w:r>
    </w:p>
    <w:p w14:paraId="67D233BA" w14:textId="77777777" w:rsidR="00964317" w:rsidRPr="00566B6A" w:rsidRDefault="00964317">
      <w:pPr>
        <w:spacing w:after="60"/>
        <w:rPr>
          <w:rFonts w:ascii="Courier New" w:hAnsi="Courier New" w:cs="Courier New"/>
          <w:sz w:val="22"/>
        </w:rPr>
      </w:pPr>
    </w:p>
    <w:p w14:paraId="23A9C68A"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Case Law (Curated)</w:t>
      </w:r>
    </w:p>
    <w:tbl>
      <w:tblPr>
        <w:tblStyle w:val="TableGrid"/>
        <w:tblW w:w="0" w:type="auto"/>
        <w:jc w:val="center"/>
        <w:tblLayout w:type="fixed"/>
        <w:tblLook w:val="04A0" w:firstRow="1" w:lastRow="0" w:firstColumn="1" w:lastColumn="0" w:noHBand="0" w:noVBand="1"/>
      </w:tblPr>
      <w:tblGrid>
        <w:gridCol w:w="2232"/>
        <w:gridCol w:w="1152"/>
        <w:gridCol w:w="748"/>
        <w:gridCol w:w="2088"/>
        <w:gridCol w:w="4536"/>
        <w:gridCol w:w="3643"/>
      </w:tblGrid>
      <w:tr w:rsidR="00756B19" w:rsidRPr="00566B6A" w14:paraId="56C90A9F" w14:textId="77777777">
        <w:trPr>
          <w:cantSplit/>
          <w:tblHeader/>
          <w:jc w:val="center"/>
        </w:trPr>
        <w:tc>
          <w:tcPr>
            <w:tcW w:w="2232" w:type="dxa"/>
            <w:shd w:val="clear" w:color="auto" w:fill="D9EAF7"/>
            <w:tcMar>
              <w:top w:w="55" w:type="dxa"/>
              <w:left w:w="55" w:type="dxa"/>
              <w:bottom w:w="55" w:type="dxa"/>
              <w:right w:w="55" w:type="dxa"/>
            </w:tcMar>
            <w:vAlign w:val="center"/>
          </w:tcPr>
          <w:p w14:paraId="433264E3"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Case Name</w:t>
            </w:r>
          </w:p>
        </w:tc>
        <w:tc>
          <w:tcPr>
            <w:tcW w:w="1152" w:type="dxa"/>
            <w:shd w:val="clear" w:color="auto" w:fill="D9EAF7"/>
            <w:tcMar>
              <w:top w:w="55" w:type="dxa"/>
              <w:left w:w="55" w:type="dxa"/>
              <w:bottom w:w="55" w:type="dxa"/>
              <w:right w:w="55" w:type="dxa"/>
            </w:tcMar>
            <w:vAlign w:val="center"/>
          </w:tcPr>
          <w:p w14:paraId="7F55409D"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Court</w:t>
            </w:r>
          </w:p>
        </w:tc>
        <w:tc>
          <w:tcPr>
            <w:tcW w:w="748" w:type="dxa"/>
            <w:shd w:val="clear" w:color="auto" w:fill="D9EAF7"/>
            <w:tcMar>
              <w:top w:w="55" w:type="dxa"/>
              <w:left w:w="55" w:type="dxa"/>
              <w:bottom w:w="55" w:type="dxa"/>
              <w:right w:w="55" w:type="dxa"/>
            </w:tcMar>
            <w:vAlign w:val="center"/>
          </w:tcPr>
          <w:p w14:paraId="049CB34F"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Year</w:t>
            </w:r>
          </w:p>
        </w:tc>
        <w:tc>
          <w:tcPr>
            <w:tcW w:w="2088" w:type="dxa"/>
            <w:shd w:val="clear" w:color="auto" w:fill="D9EAF7"/>
            <w:tcMar>
              <w:top w:w="55" w:type="dxa"/>
              <w:left w:w="55" w:type="dxa"/>
              <w:bottom w:w="55" w:type="dxa"/>
              <w:right w:w="55" w:type="dxa"/>
            </w:tcMar>
            <w:vAlign w:val="center"/>
          </w:tcPr>
          <w:p w14:paraId="0A97A350"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4536" w:type="dxa"/>
            <w:shd w:val="clear" w:color="auto" w:fill="D9EAF7"/>
            <w:tcMar>
              <w:top w:w="55" w:type="dxa"/>
              <w:left w:w="55" w:type="dxa"/>
              <w:bottom w:w="55" w:type="dxa"/>
              <w:right w:w="55" w:type="dxa"/>
            </w:tcMar>
            <w:vAlign w:val="center"/>
          </w:tcPr>
          <w:p w14:paraId="7660DDB8"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Holding Summary</w:t>
            </w:r>
          </w:p>
        </w:tc>
        <w:tc>
          <w:tcPr>
            <w:tcW w:w="3643" w:type="dxa"/>
            <w:shd w:val="clear" w:color="auto" w:fill="D9EAF7"/>
            <w:tcMar>
              <w:top w:w="55" w:type="dxa"/>
              <w:left w:w="55" w:type="dxa"/>
              <w:bottom w:w="55" w:type="dxa"/>
              <w:right w:w="55" w:type="dxa"/>
            </w:tcMar>
            <w:vAlign w:val="center"/>
          </w:tcPr>
          <w:p w14:paraId="7D26DBBE"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Practical Use</w:t>
            </w:r>
          </w:p>
        </w:tc>
      </w:tr>
      <w:tr w:rsidR="00756B19" w:rsidRPr="00566B6A" w14:paraId="44D686B0" w14:textId="77777777">
        <w:trPr>
          <w:cantSplit/>
          <w:jc w:val="center"/>
        </w:trPr>
        <w:tc>
          <w:tcPr>
            <w:tcW w:w="2232" w:type="dxa"/>
            <w:tcMar>
              <w:top w:w="50" w:type="dxa"/>
              <w:left w:w="55" w:type="dxa"/>
              <w:bottom w:w="50" w:type="dxa"/>
              <w:right w:w="55" w:type="dxa"/>
            </w:tcMar>
          </w:tcPr>
          <w:p w14:paraId="79A966A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Wallis v. Ford Motor Co.</w:t>
            </w:r>
          </w:p>
        </w:tc>
        <w:tc>
          <w:tcPr>
            <w:tcW w:w="1152" w:type="dxa"/>
            <w:tcMar>
              <w:top w:w="50" w:type="dxa"/>
              <w:left w:w="55" w:type="dxa"/>
              <w:bottom w:w="50" w:type="dxa"/>
              <w:right w:w="55" w:type="dxa"/>
            </w:tcMar>
          </w:tcPr>
          <w:p w14:paraId="72D4F0C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Ark. Sup. Ct.</w:t>
            </w:r>
          </w:p>
        </w:tc>
        <w:tc>
          <w:tcPr>
            <w:tcW w:w="748" w:type="dxa"/>
            <w:tcMar>
              <w:top w:w="50" w:type="dxa"/>
              <w:left w:w="55" w:type="dxa"/>
              <w:bottom w:w="50" w:type="dxa"/>
              <w:right w:w="55" w:type="dxa"/>
            </w:tcMar>
          </w:tcPr>
          <w:p w14:paraId="6E26254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2005</w:t>
            </w:r>
          </w:p>
        </w:tc>
        <w:tc>
          <w:tcPr>
            <w:tcW w:w="2088" w:type="dxa"/>
            <w:tcMar>
              <w:top w:w="50" w:type="dxa"/>
              <w:left w:w="55" w:type="dxa"/>
              <w:bottom w:w="50" w:type="dxa"/>
              <w:right w:w="55" w:type="dxa"/>
            </w:tcMar>
          </w:tcPr>
          <w:p w14:paraId="487057E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362 Ark. 317, 208 S.W.3d 153</w:t>
            </w:r>
          </w:p>
        </w:tc>
        <w:tc>
          <w:tcPr>
            <w:tcW w:w="4536" w:type="dxa"/>
            <w:tcMar>
              <w:top w:w="50" w:type="dxa"/>
              <w:left w:w="55" w:type="dxa"/>
              <w:bottom w:w="50" w:type="dxa"/>
              <w:right w:w="55" w:type="dxa"/>
            </w:tcMar>
          </w:tcPr>
          <w:p w14:paraId="18E812C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Distinguishes the Attorney General’s ability to seek relief for an ascertainable loss from a private ADTPA claim, which requires actual damage or injury. A pleaded diminution in value without a manifested defect or other actual injury was insufficient.</w:t>
            </w:r>
          </w:p>
        </w:tc>
        <w:tc>
          <w:tcPr>
            <w:tcW w:w="3643" w:type="dxa"/>
            <w:tcMar>
              <w:top w:w="50" w:type="dxa"/>
              <w:left w:w="55" w:type="dxa"/>
              <w:bottom w:w="50" w:type="dxa"/>
              <w:right w:w="55" w:type="dxa"/>
            </w:tcMar>
          </w:tcPr>
          <w:p w14:paraId="1A2627E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Document a concrete, realized financial loss rather than speculative reduced value; preserve repair history, transaction records, denials, payments, and other measurable injury evidence.</w:t>
            </w:r>
          </w:p>
        </w:tc>
      </w:tr>
      <w:tr w:rsidR="00756B19" w:rsidRPr="00566B6A" w14:paraId="5698ECA4" w14:textId="77777777">
        <w:trPr>
          <w:cantSplit/>
          <w:jc w:val="center"/>
        </w:trPr>
        <w:tc>
          <w:tcPr>
            <w:tcW w:w="2232" w:type="dxa"/>
            <w:shd w:val="clear" w:color="auto" w:fill="F7FAFC"/>
            <w:tcMar>
              <w:top w:w="50" w:type="dxa"/>
              <w:left w:w="55" w:type="dxa"/>
              <w:bottom w:w="50" w:type="dxa"/>
              <w:right w:w="55" w:type="dxa"/>
            </w:tcMar>
          </w:tcPr>
          <w:p w14:paraId="74F9F4B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Baptist Health v. Murphy</w:t>
            </w:r>
          </w:p>
        </w:tc>
        <w:tc>
          <w:tcPr>
            <w:tcW w:w="1152" w:type="dxa"/>
            <w:shd w:val="clear" w:color="auto" w:fill="F7FAFC"/>
            <w:tcMar>
              <w:top w:w="50" w:type="dxa"/>
              <w:left w:w="55" w:type="dxa"/>
              <w:bottom w:w="50" w:type="dxa"/>
              <w:right w:w="55" w:type="dxa"/>
            </w:tcMar>
          </w:tcPr>
          <w:p w14:paraId="342ED89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Ark. Sup. Ct.</w:t>
            </w:r>
          </w:p>
        </w:tc>
        <w:tc>
          <w:tcPr>
            <w:tcW w:w="748" w:type="dxa"/>
            <w:shd w:val="clear" w:color="auto" w:fill="F7FAFC"/>
            <w:tcMar>
              <w:top w:w="50" w:type="dxa"/>
              <w:left w:w="55" w:type="dxa"/>
              <w:bottom w:w="50" w:type="dxa"/>
              <w:right w:w="55" w:type="dxa"/>
            </w:tcMar>
          </w:tcPr>
          <w:p w14:paraId="0438024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2010</w:t>
            </w:r>
          </w:p>
        </w:tc>
        <w:tc>
          <w:tcPr>
            <w:tcW w:w="2088" w:type="dxa"/>
            <w:shd w:val="clear" w:color="auto" w:fill="F7FAFC"/>
            <w:tcMar>
              <w:top w:w="50" w:type="dxa"/>
              <w:left w:w="55" w:type="dxa"/>
              <w:bottom w:w="50" w:type="dxa"/>
              <w:right w:w="55" w:type="dxa"/>
            </w:tcMar>
          </w:tcPr>
          <w:p w14:paraId="73BC4D6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2010 Ark. 358, 373 S.W.3d 269</w:t>
            </w:r>
          </w:p>
        </w:tc>
        <w:tc>
          <w:tcPr>
            <w:tcW w:w="4536" w:type="dxa"/>
            <w:shd w:val="clear" w:color="auto" w:fill="F7FAFC"/>
            <w:tcMar>
              <w:top w:w="50" w:type="dxa"/>
              <w:left w:w="55" w:type="dxa"/>
              <w:bottom w:w="50" w:type="dxa"/>
              <w:right w:w="55" w:type="dxa"/>
            </w:tcMar>
          </w:tcPr>
          <w:p w14:paraId="19F38DE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Holds that the ADTPA private remedy is limited to the relief the statute expressly authorizes. The court rejected a private ADTPA claim seeking injunctive relief because the statute authorized recovery of actual damages, not a private injunction.</w:t>
            </w:r>
          </w:p>
        </w:tc>
        <w:tc>
          <w:tcPr>
            <w:tcW w:w="3643" w:type="dxa"/>
            <w:shd w:val="clear" w:color="auto" w:fill="F7FAFC"/>
            <w:tcMar>
              <w:top w:w="50" w:type="dxa"/>
              <w:left w:w="55" w:type="dxa"/>
              <w:bottom w:w="50" w:type="dxa"/>
              <w:right w:w="55" w:type="dxa"/>
            </w:tcMar>
          </w:tcPr>
          <w:p w14:paraId="2F97335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Match the requested remedy to the statute; document actual financial loss and fees for a private claim, and route requests for public injunctive or restorative enforcement to the Attorney General where appropriate.</w:t>
            </w:r>
          </w:p>
        </w:tc>
      </w:tr>
      <w:tr w:rsidR="00756B19" w:rsidRPr="00566B6A" w14:paraId="7EDC4511" w14:textId="77777777">
        <w:trPr>
          <w:cantSplit/>
          <w:jc w:val="center"/>
        </w:trPr>
        <w:tc>
          <w:tcPr>
            <w:tcW w:w="2232" w:type="dxa"/>
            <w:tcMar>
              <w:top w:w="50" w:type="dxa"/>
              <w:left w:w="55" w:type="dxa"/>
              <w:bottom w:w="50" w:type="dxa"/>
              <w:right w:w="55" w:type="dxa"/>
            </w:tcMar>
          </w:tcPr>
          <w:p w14:paraId="43BB223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lastRenderedPageBreak/>
              <w:t>McMullen v. McHughes Law Firm</w:t>
            </w:r>
          </w:p>
        </w:tc>
        <w:tc>
          <w:tcPr>
            <w:tcW w:w="1152" w:type="dxa"/>
            <w:tcMar>
              <w:top w:w="50" w:type="dxa"/>
              <w:left w:w="55" w:type="dxa"/>
              <w:bottom w:w="50" w:type="dxa"/>
              <w:right w:w="55" w:type="dxa"/>
            </w:tcMar>
          </w:tcPr>
          <w:p w14:paraId="7D1CCBF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Ark. Sup. Ct.</w:t>
            </w:r>
          </w:p>
        </w:tc>
        <w:tc>
          <w:tcPr>
            <w:tcW w:w="748" w:type="dxa"/>
            <w:tcMar>
              <w:top w:w="50" w:type="dxa"/>
              <w:left w:w="55" w:type="dxa"/>
              <w:bottom w:w="50" w:type="dxa"/>
              <w:right w:w="55" w:type="dxa"/>
            </w:tcMar>
          </w:tcPr>
          <w:p w14:paraId="54C95B6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2015</w:t>
            </w:r>
          </w:p>
        </w:tc>
        <w:tc>
          <w:tcPr>
            <w:tcW w:w="2088" w:type="dxa"/>
            <w:tcMar>
              <w:top w:w="50" w:type="dxa"/>
              <w:left w:w="55" w:type="dxa"/>
              <w:bottom w:w="50" w:type="dxa"/>
              <w:right w:w="55" w:type="dxa"/>
            </w:tcMar>
          </w:tcPr>
          <w:p w14:paraId="4BC38F4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2015 Ark. 15, 454 S.W.3d 200</w:t>
            </w:r>
          </w:p>
        </w:tc>
        <w:tc>
          <w:tcPr>
            <w:tcW w:w="4536" w:type="dxa"/>
            <w:tcMar>
              <w:top w:w="50" w:type="dxa"/>
              <w:left w:w="55" w:type="dxa"/>
              <w:bottom w:w="50" w:type="dxa"/>
              <w:right w:w="55" w:type="dxa"/>
            </w:tcMar>
          </w:tcPr>
          <w:p w14:paraId="285D488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Confirms that attorneys who regularly collect consumer debts through litigation do not have blanket FDCPA immunity, but affirms dismissal where the complaint stated conclusions rather than specific facts showing false, abusive, or unfair collection conduct.</w:t>
            </w:r>
          </w:p>
        </w:tc>
        <w:tc>
          <w:tcPr>
            <w:tcW w:w="3643" w:type="dxa"/>
            <w:tcMar>
              <w:top w:w="50" w:type="dxa"/>
              <w:left w:w="55" w:type="dxa"/>
              <w:bottom w:w="50" w:type="dxa"/>
              <w:right w:w="55" w:type="dxa"/>
            </w:tcMar>
          </w:tcPr>
          <w:p w14:paraId="1DB333F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Plead and preserve specific facts: account ownership, collector communications, disputed amounts, verification requests, suit allegations, service records, assignment evidence, and the exact false or unfair statement or act.</w:t>
            </w:r>
          </w:p>
        </w:tc>
      </w:tr>
    </w:tbl>
    <w:p w14:paraId="635296EF" w14:textId="77777777" w:rsidR="00756B19" w:rsidRPr="00566B6A" w:rsidRDefault="00756B19">
      <w:pPr>
        <w:spacing w:after="20"/>
        <w:rPr>
          <w:rFonts w:ascii="Courier New" w:hAnsi="Courier New" w:cs="Courier New"/>
          <w:sz w:val="22"/>
        </w:rPr>
      </w:pPr>
    </w:p>
    <w:p w14:paraId="72752F1B"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G — ADAPTIVE AI AUTHORITY LIBRARY (CONSTANT UPDATES)</w:t>
      </w:r>
    </w:p>
    <w:p w14:paraId="149D0850"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Authority Library Version ID:</w:t>
      </w:r>
      <w:r w:rsidRPr="00566B6A">
        <w:rPr>
          <w:rFonts w:ascii="Courier New" w:hAnsi="Courier New" w:cs="Courier New"/>
          <w:sz w:val="22"/>
        </w:rPr>
        <w:t xml:space="preserve"> TK-Authority-2026-07-AR</w:t>
      </w:r>
    </w:p>
    <w:p w14:paraId="67548EF2"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Last Updated Date:</w:t>
      </w:r>
      <w:r w:rsidRPr="00566B6A">
        <w:rPr>
          <w:rFonts w:ascii="Courier New" w:hAnsi="Courier New" w:cs="Courier New"/>
          <w:sz w:val="22"/>
        </w:rPr>
        <w:t xml:space="preserve"> July 23, 2026</w:t>
      </w:r>
    </w:p>
    <w:p w14:paraId="31FCC85C"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Jurisdiction Filters Applied:</w:t>
      </w:r>
      <w:r w:rsidRPr="00566B6A">
        <w:rPr>
          <w:rFonts w:ascii="Courier New" w:hAnsi="Courier New" w:cs="Courier New"/>
          <w:sz w:val="22"/>
        </w:rPr>
        <w:t xml:space="preserve"> Federal + AR + WA</w:t>
      </w:r>
    </w:p>
    <w:p w14:paraId="499F4138" w14:textId="77777777" w:rsidR="00756B19" w:rsidRPr="00566B6A" w:rsidRDefault="00F247EE">
      <w:pPr>
        <w:spacing w:after="60"/>
        <w:rPr>
          <w:rFonts w:ascii="Courier New" w:hAnsi="Courier New" w:cs="Courier New"/>
          <w:sz w:val="22"/>
        </w:rPr>
      </w:pPr>
      <w:r w:rsidRPr="00566B6A">
        <w:rPr>
          <w:rFonts w:ascii="Courier New" w:hAnsi="Courier New" w:cs="Courier New"/>
          <w:sz w:val="22"/>
        </w:rPr>
        <w:t>Update Discipline: Citations must be validated against official sources before inclusion. Arkansas statutory references in this version were checked against current Arkansas code and agency materials. Federal FCRA authorities were checked against the Office of the Law Revision Counsel U.S. Code and current Regulation V materials available on July 23, 2026.</w:t>
      </w:r>
    </w:p>
    <w:p w14:paraId="7D95EC57"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Confidence Flags</w:t>
      </w:r>
    </w:p>
    <w:p w14:paraId="7B98AE21"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State-Specific Authority</w:t>
      </w:r>
    </w:p>
    <w:p w14:paraId="2B5D10D1"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Preemption-Sensitive Authority</w:t>
      </w:r>
    </w:p>
    <w:p w14:paraId="2C5AD9E6"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Subject to Legislative Updates</w:t>
      </w:r>
    </w:p>
    <w:p w14:paraId="34661A55"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Subject to New Judicial Decisions</w:t>
      </w:r>
    </w:p>
    <w:p w14:paraId="4C0CF72F"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Verification Required when a regulation, agency jurisdiction, local ordinance, or private remedy is not expressly confirmed</w:t>
      </w:r>
    </w:p>
    <w:p w14:paraId="2873AAC8" w14:textId="77777777" w:rsidR="00756B19" w:rsidRPr="00566B6A" w:rsidRDefault="00F247EE">
      <w:pPr>
        <w:spacing w:after="60"/>
        <w:rPr>
          <w:rFonts w:ascii="Courier New" w:hAnsi="Courier New" w:cs="Courier New"/>
          <w:sz w:val="22"/>
        </w:rPr>
      </w:pPr>
      <w:r w:rsidRPr="00566B6A">
        <w:rPr>
          <w:rFonts w:ascii="Courier New" w:hAnsi="Courier New" w:cs="Courier New"/>
          <w:sz w:val="22"/>
        </w:rPr>
        <w:t>This section was generated using a continuously updated authority library designed to identify relevant federal and Arkansas consumer-protection authorities. Statutes, regulations, agency guidance, and judicial decisions may change over time. This section is educational and informational only and does not constitute legal advice or legal representation.</w:t>
      </w:r>
    </w:p>
    <w:p w14:paraId="786B72ED"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lastRenderedPageBreak/>
        <w:t>PART H — CITATION RULES (MANDATORY)</w:t>
      </w:r>
    </w:p>
    <w:p w14:paraId="4D24D7BF"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Statutes / Acts: official code citation by title, chapter, article, and section.</w:t>
      </w:r>
    </w:p>
    <w:p w14:paraId="197598B9"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Regulations: current Arkansas administrative rule citation by agency, rule number, and section.</w:t>
      </w:r>
    </w:p>
    <w:p w14:paraId="4F70BEFB"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Policies / Guidance: agency name, document or webpage title, publication or access date when available, and official source.</w:t>
      </w:r>
    </w:p>
    <w:p w14:paraId="335B91DB"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Cases: court, year, neutral citation and reporter citation when available; otherwise docket, court, year, and official/public source.</w:t>
      </w:r>
    </w:p>
    <w:p w14:paraId="5AF73CE6"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No Citation = No Claim™: omit the statement or mark “Verification Required” and explain what must be verified.</w:t>
      </w:r>
    </w:p>
    <w:p w14:paraId="59E82230"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REQUIRED SECTION DISCLAIMER (END)</w:t>
      </w:r>
    </w:p>
    <w:p w14:paraId="39747516" w14:textId="77777777" w:rsidR="00756B19" w:rsidRDefault="00F247EE">
      <w:pPr>
        <w:keepLines/>
        <w:spacing w:before="40" w:after="0"/>
        <w:rPr>
          <w:rFonts w:ascii="Courier New" w:hAnsi="Courier New" w:cs="Courier New"/>
          <w:i/>
          <w:color w:val="464646"/>
          <w:sz w:val="22"/>
        </w:rPr>
      </w:pPr>
      <w:r w:rsidRPr="00566B6A">
        <w:rPr>
          <w:rFonts w:ascii="Courier New" w:hAnsi="Courier New" w:cs="Courier New"/>
          <w:i/>
          <w:sz w:val="22"/>
        </w:rPr>
        <w:t>Nothing contained within this section should be interpreted as legal advice, legal representation, or a guarantee of outcome. Consumers remain responsible for their own decisions and actions. Applicable laws, regulations, agency jurisdiction, and judicial interpretations may change over time. This section is provided solely for educational, informational</w:t>
      </w:r>
      <w:r w:rsidRPr="00566B6A">
        <w:rPr>
          <w:rFonts w:ascii="Courier New" w:hAnsi="Courier New" w:cs="Courier New"/>
          <w:i/>
          <w:color w:val="464646"/>
          <w:sz w:val="22"/>
        </w:rPr>
        <w:t>, and procedural self-help purposes.</w:t>
      </w:r>
    </w:p>
    <w:p w14:paraId="5A489BC8" w14:textId="77777777" w:rsidR="00BD7EED" w:rsidRDefault="00BD7EED">
      <w:pPr>
        <w:keepLines/>
        <w:spacing w:before="40" w:after="0"/>
        <w:rPr>
          <w:rFonts w:ascii="Courier New" w:hAnsi="Courier New" w:cs="Courier New"/>
          <w:i/>
          <w:color w:val="464646"/>
          <w:sz w:val="22"/>
        </w:rPr>
      </w:pPr>
    </w:p>
    <w:p w14:paraId="793F004D" w14:textId="77777777" w:rsidR="00BD7EED" w:rsidRDefault="00BD7EED">
      <w:pPr>
        <w:keepLines/>
        <w:spacing w:before="40" w:after="0"/>
        <w:rPr>
          <w:rFonts w:ascii="Courier New" w:hAnsi="Courier New" w:cs="Courier New"/>
          <w:i/>
          <w:color w:val="464646"/>
          <w:sz w:val="22"/>
        </w:rPr>
      </w:pPr>
    </w:p>
    <w:p w14:paraId="4EA59E70" w14:textId="77777777" w:rsidR="00BD7EED" w:rsidRDefault="00BD7EED">
      <w:pPr>
        <w:keepLines/>
        <w:spacing w:before="40" w:after="0"/>
        <w:rPr>
          <w:rFonts w:ascii="Courier New" w:hAnsi="Courier New" w:cs="Courier New"/>
          <w:i/>
          <w:color w:val="464646"/>
          <w:sz w:val="22"/>
        </w:rPr>
      </w:pPr>
    </w:p>
    <w:p w14:paraId="41B72AA8" w14:textId="77777777" w:rsidR="00BD7EED" w:rsidRDefault="00BD7EED">
      <w:pPr>
        <w:keepLines/>
        <w:spacing w:before="40" w:after="0"/>
        <w:rPr>
          <w:rFonts w:ascii="Courier New" w:hAnsi="Courier New" w:cs="Courier New"/>
          <w:i/>
          <w:color w:val="464646"/>
          <w:sz w:val="22"/>
        </w:rPr>
      </w:pPr>
    </w:p>
    <w:p w14:paraId="42B7C716" w14:textId="77777777" w:rsidR="00BD7EED" w:rsidRDefault="00BD7EED">
      <w:pPr>
        <w:keepLines/>
        <w:spacing w:before="40" w:after="0"/>
        <w:rPr>
          <w:rFonts w:ascii="Courier New" w:hAnsi="Courier New" w:cs="Courier New"/>
          <w:i/>
          <w:color w:val="464646"/>
          <w:sz w:val="22"/>
        </w:rPr>
      </w:pPr>
    </w:p>
    <w:p w14:paraId="5C3A8A05" w14:textId="77777777" w:rsidR="00BD7EED" w:rsidRDefault="00BD7EED">
      <w:pPr>
        <w:keepLines/>
        <w:spacing w:before="40" w:after="0"/>
        <w:rPr>
          <w:rFonts w:ascii="Courier New" w:hAnsi="Courier New" w:cs="Courier New"/>
          <w:i/>
          <w:color w:val="464646"/>
          <w:sz w:val="22"/>
        </w:rPr>
      </w:pPr>
    </w:p>
    <w:p w14:paraId="0BEFAA58" w14:textId="77777777" w:rsidR="00BD7EED" w:rsidRDefault="00BD7EED">
      <w:pPr>
        <w:keepLines/>
        <w:spacing w:before="40" w:after="0"/>
        <w:rPr>
          <w:rFonts w:ascii="Courier New" w:hAnsi="Courier New" w:cs="Courier New"/>
          <w:i/>
          <w:color w:val="464646"/>
          <w:sz w:val="22"/>
        </w:rPr>
      </w:pPr>
    </w:p>
    <w:p w14:paraId="72054B27" w14:textId="77777777" w:rsidR="00BD7EED" w:rsidRDefault="00BD7EED">
      <w:pPr>
        <w:keepLines/>
        <w:spacing w:before="40" w:after="0"/>
        <w:rPr>
          <w:rFonts w:ascii="Courier New" w:hAnsi="Courier New" w:cs="Courier New"/>
          <w:i/>
          <w:color w:val="464646"/>
          <w:sz w:val="22"/>
        </w:rPr>
      </w:pPr>
    </w:p>
    <w:p w14:paraId="1C34DB2E" w14:textId="77777777" w:rsidR="00BD7EED" w:rsidRDefault="00BD7EED">
      <w:pPr>
        <w:keepLines/>
        <w:spacing w:before="40" w:after="0"/>
        <w:rPr>
          <w:rFonts w:ascii="Courier New" w:hAnsi="Courier New" w:cs="Courier New"/>
          <w:i/>
          <w:color w:val="464646"/>
          <w:sz w:val="22"/>
        </w:rPr>
      </w:pPr>
    </w:p>
    <w:p w14:paraId="6D976413" w14:textId="77777777" w:rsidR="00BD7EED" w:rsidRDefault="00BD7EED">
      <w:pPr>
        <w:keepLines/>
        <w:spacing w:before="40" w:after="0"/>
        <w:rPr>
          <w:rFonts w:ascii="Courier New" w:hAnsi="Courier New" w:cs="Courier New"/>
          <w:i/>
          <w:color w:val="464646"/>
          <w:sz w:val="22"/>
        </w:rPr>
      </w:pPr>
    </w:p>
    <w:p w14:paraId="372A5196" w14:textId="77777777" w:rsidR="00BD7EED" w:rsidRDefault="00BD7EED">
      <w:pPr>
        <w:keepLines/>
        <w:spacing w:before="40" w:after="0"/>
        <w:rPr>
          <w:rFonts w:ascii="Courier New" w:hAnsi="Courier New" w:cs="Courier New"/>
          <w:i/>
          <w:color w:val="464646"/>
          <w:sz w:val="22"/>
        </w:rPr>
      </w:pPr>
    </w:p>
    <w:p w14:paraId="335C40D1" w14:textId="77777777" w:rsidR="00BD7EED" w:rsidRDefault="00BD7EED">
      <w:pPr>
        <w:keepLines/>
        <w:spacing w:before="40" w:after="0"/>
        <w:rPr>
          <w:rFonts w:ascii="Courier New" w:hAnsi="Courier New" w:cs="Courier New"/>
          <w:i/>
          <w:color w:val="464646"/>
          <w:sz w:val="22"/>
        </w:rPr>
      </w:pPr>
    </w:p>
    <w:p w14:paraId="6FD257A4" w14:textId="77777777" w:rsidR="00BD7EED" w:rsidRDefault="00BD7EED">
      <w:pPr>
        <w:keepLines/>
        <w:spacing w:before="40" w:after="0"/>
        <w:rPr>
          <w:rFonts w:ascii="Courier New" w:hAnsi="Courier New" w:cs="Courier New"/>
          <w:i/>
          <w:color w:val="464646"/>
          <w:sz w:val="22"/>
        </w:rPr>
      </w:pPr>
    </w:p>
    <w:p w14:paraId="6CD0DD27" w14:textId="77777777" w:rsidR="00BD7EED" w:rsidRPr="00566B6A" w:rsidRDefault="00BD7EED">
      <w:pPr>
        <w:keepLines/>
        <w:spacing w:before="40" w:after="0"/>
        <w:rPr>
          <w:rFonts w:ascii="Courier New" w:hAnsi="Courier New" w:cs="Courier New"/>
          <w:sz w:val="22"/>
        </w:rPr>
      </w:pPr>
    </w:p>
    <w:sectPr w:rsidR="00BD7EED" w:rsidRPr="00566B6A" w:rsidSect="00024A47">
      <w:headerReference w:type="default" r:id="rId8"/>
      <w:footerReference w:type="default" r:id="rId9"/>
      <w:pgSz w:w="15840" w:h="12240" w:orient="landscape"/>
      <w:pgMar w:top="1440" w:right="1440" w:bottom="1440" w:left="1440" w:header="288"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B18E7F" w14:textId="77777777" w:rsidR="00BE238F" w:rsidRDefault="00BE238F">
      <w:pPr>
        <w:spacing w:after="0" w:line="240" w:lineRule="auto"/>
      </w:pPr>
      <w:r>
        <w:separator/>
      </w:r>
    </w:p>
  </w:endnote>
  <w:endnote w:type="continuationSeparator" w:id="0">
    <w:p w14:paraId="5C65EF42" w14:textId="77777777" w:rsidR="00BE238F" w:rsidRDefault="00BE23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132E7" w14:textId="77777777" w:rsidR="00756B19" w:rsidRDefault="00F247EE">
    <w:pPr>
      <w:pStyle w:val="Footer"/>
      <w:jc w:val="center"/>
    </w:pPr>
    <w:r>
      <w:rPr>
        <w:i/>
        <w:color w:val="5A5A5A"/>
        <w:sz w:val="14"/>
      </w:rPr>
      <w:t>Educational and procedural self-help material — not legal advice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9C5DF4" w14:textId="77777777" w:rsidR="00BE238F" w:rsidRDefault="00BE238F">
      <w:pPr>
        <w:spacing w:after="0" w:line="240" w:lineRule="auto"/>
      </w:pPr>
      <w:r>
        <w:separator/>
      </w:r>
    </w:p>
  </w:footnote>
  <w:footnote w:type="continuationSeparator" w:id="0">
    <w:p w14:paraId="24FDB5B6" w14:textId="77777777" w:rsidR="00BE238F" w:rsidRDefault="00BE23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40026" w14:textId="77777777" w:rsidR="00756B19" w:rsidRDefault="00F247EE">
    <w:pPr>
      <w:pStyle w:val="Header"/>
      <w:jc w:val="right"/>
    </w:pPr>
    <w:r>
      <w:rPr>
        <w:b/>
        <w:color w:val="505050"/>
        <w:sz w:val="15"/>
      </w:rPr>
      <w:t>GLADIC AI™ — SECTION 3A | ARKANSAS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94968295">
    <w:abstractNumId w:val="8"/>
  </w:num>
  <w:num w:numId="2" w16cid:durableId="587035469">
    <w:abstractNumId w:val="6"/>
  </w:num>
  <w:num w:numId="3" w16cid:durableId="1436708472">
    <w:abstractNumId w:val="5"/>
  </w:num>
  <w:num w:numId="4" w16cid:durableId="1789540790">
    <w:abstractNumId w:val="4"/>
  </w:num>
  <w:num w:numId="5" w16cid:durableId="1384210192">
    <w:abstractNumId w:val="7"/>
  </w:num>
  <w:num w:numId="6" w16cid:durableId="1391731214">
    <w:abstractNumId w:val="3"/>
  </w:num>
  <w:num w:numId="7" w16cid:durableId="1612858173">
    <w:abstractNumId w:val="2"/>
  </w:num>
  <w:num w:numId="8" w16cid:durableId="1642072394">
    <w:abstractNumId w:val="1"/>
  </w:num>
  <w:num w:numId="9" w16cid:durableId="14229936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4A47"/>
    <w:rsid w:val="00034616"/>
    <w:rsid w:val="0006063C"/>
    <w:rsid w:val="000C26BB"/>
    <w:rsid w:val="0015074B"/>
    <w:rsid w:val="0029639D"/>
    <w:rsid w:val="00326F90"/>
    <w:rsid w:val="00463F22"/>
    <w:rsid w:val="00566B6A"/>
    <w:rsid w:val="00655F05"/>
    <w:rsid w:val="006F27AD"/>
    <w:rsid w:val="00736F61"/>
    <w:rsid w:val="00756B19"/>
    <w:rsid w:val="008A705B"/>
    <w:rsid w:val="00964317"/>
    <w:rsid w:val="00AA1D8D"/>
    <w:rsid w:val="00B47730"/>
    <w:rsid w:val="00BD7EED"/>
    <w:rsid w:val="00BE238F"/>
    <w:rsid w:val="00CB0664"/>
    <w:rsid w:val="00F247E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250A26"/>
  <w14:defaultImageDpi w14:val="300"/>
  <w15:docId w15:val="{5EEB66F3-E441-4F2E-A330-5A737E432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line="252" w:lineRule="auto"/>
    </w:pPr>
    <w:rPr>
      <w:rFonts w:ascii="Arial" w:eastAsia="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Pages>
  <Words>4699</Words>
  <Characters>26789</Characters>
  <Application>Microsoft Office Word</Application>
  <DocSecurity>0</DocSecurity>
  <Lines>223</Lines>
  <Paragraphs>62</Paragraphs>
  <ScaleCrop>false</ScaleCrop>
  <HeadingPairs>
    <vt:vector size="2" baseType="variant">
      <vt:variant>
        <vt:lpstr>Title</vt:lpstr>
      </vt:variant>
      <vt:variant>
        <vt:i4>1</vt:i4>
      </vt:variant>
    </vt:vector>
  </HeadingPairs>
  <TitlesOfParts>
    <vt:vector size="1" baseType="lpstr">
      <vt:lpstr>Section 3A — Wyoming Laws and Federal FCRA Personal Information Corrections</vt:lpstr>
    </vt:vector>
  </TitlesOfParts>
  <Manager/>
  <Company/>
  <LinksUpToDate>false</LinksUpToDate>
  <CharactersWithSpaces>31426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Section 3A — Wyoming Laws and Federal FCRA Personal Information Corrections</dc:title>
  <dc:subject>Wyoming consumer protection, federal FCRA, inaccurate address, employment, and contact information</dc:subject>
  <dc:creator>GLADIC AI™</dc:creator>
  <cp:keywords>Wyoming, consumer protection, WCPA, FCRA, debt collection, security freeze, case law</cp:keywords>
  <dc:description>Educational and procedural self-help material.</dc:description>
  <cp:lastModifiedBy>Louis Lewis</cp:lastModifiedBy>
  <cp:revision>2</cp:revision>
  <dcterms:created xsi:type="dcterms:W3CDTF">2026-07-23T23:36:00Z</dcterms:created>
  <dcterms:modified xsi:type="dcterms:W3CDTF">2026-07-23T23:36:00Z</dcterms:modified>
  <cp:category/>
</cp:coreProperties>
</file>