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8675C" w14:textId="77777777" w:rsidR="00756B19" w:rsidRPr="00024A47" w:rsidRDefault="00F247EE">
      <w:pPr>
        <w:jc w:val="center"/>
        <w:rPr>
          <w:rFonts w:ascii="Courier New" w:hAnsi="Courier New" w:cs="Courier New"/>
          <w:sz w:val="26"/>
          <w:szCs w:val="26"/>
        </w:rPr>
      </w:pPr>
      <w:r w:rsidRPr="00024A47">
        <w:rPr>
          <w:rFonts w:ascii="Courier New" w:hAnsi="Courier New" w:cs="Courier New"/>
          <w:b/>
          <w:sz w:val="26"/>
          <w:szCs w:val="26"/>
        </w:rPr>
        <w:t>SECTION 3A — KNOW YOUR RIGHTS AND PROTECTION UNDER YOUR RESIDING STATE</w:t>
      </w:r>
    </w:p>
    <w:p w14:paraId="7D6F8D99" w14:textId="77777777" w:rsidR="00024A47" w:rsidRPr="00024A47" w:rsidRDefault="00024A47">
      <w:pPr>
        <w:spacing w:after="140"/>
        <w:jc w:val="center"/>
        <w:rPr>
          <w:rFonts w:ascii="Courier New" w:hAnsi="Courier New" w:cs="Courier New"/>
          <w:b/>
          <w:sz w:val="22"/>
        </w:rPr>
      </w:pPr>
    </w:p>
    <w:p w14:paraId="6EE21F1E" w14:textId="0AFF410F" w:rsidR="00756B19" w:rsidRDefault="00F247EE" w:rsidP="00566B6A">
      <w:pPr>
        <w:spacing w:after="0"/>
        <w:jc w:val="center"/>
        <w:rPr>
          <w:rFonts w:ascii="Courier New" w:hAnsi="Courier New" w:cs="Courier New"/>
          <w:bCs/>
          <w:sz w:val="22"/>
        </w:rPr>
      </w:pPr>
      <w:r w:rsidRPr="00024A47">
        <w:rPr>
          <w:rFonts w:ascii="Courier New" w:hAnsi="Courier New" w:cs="Courier New"/>
          <w:bCs/>
          <w:sz w:val="22"/>
        </w:rPr>
        <w:t>GLADIC AI GENERATOR INSTRUCTIONS (STATE-AUTO-RENDER + CITED AUTHORITIES)</w:t>
      </w:r>
    </w:p>
    <w:p w14:paraId="72FA0717" w14:textId="77777777" w:rsidR="00566B6A" w:rsidRPr="00024A47" w:rsidRDefault="00566B6A" w:rsidP="00566B6A">
      <w:pPr>
        <w:spacing w:after="0"/>
        <w:jc w:val="center"/>
        <w:rPr>
          <w:rFonts w:ascii="Courier New" w:hAnsi="Courier New" w:cs="Courier New"/>
          <w:bCs/>
          <w:sz w:val="22"/>
        </w:rPr>
      </w:pPr>
    </w:p>
    <w:p w14:paraId="73D0B4E9"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Purpose: Educational, procedural self-help module complementing federal FCRA rights.</w:t>
      </w:r>
    </w:p>
    <w:p w14:paraId="28B947F5" w14:textId="2BAD2651"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 xml:space="preserve">Consumer: </w:t>
      </w:r>
      <w:r w:rsidR="006F27AD">
        <w:rPr>
          <w:rFonts w:ascii="Courier New" w:hAnsi="Courier New" w:cs="Courier New"/>
          <w:bCs/>
          <w:sz w:val="22"/>
        </w:rPr>
        <w:t>________________</w:t>
      </w:r>
    </w:p>
    <w:p w14:paraId="670A387A" w14:textId="77777777" w:rsidR="00756B19" w:rsidRPr="00566B6A" w:rsidRDefault="00F247EE" w:rsidP="00566B6A">
      <w:pPr>
        <w:pStyle w:val="Heading1"/>
        <w:spacing w:before="16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PART A — STATE RIGHTS MAP (STATUTES / ACTS / REGULATIONS / POLICIES / ORDINANCES)</w:t>
      </w:r>
    </w:p>
    <w:p w14:paraId="0E257C30"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Controlling STATE: California (CA)</w:t>
      </w:r>
    </w:p>
    <w:p w14:paraId="4F19E513"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Controlling STATE selected from current/most recent address on uploaded bureau report(s) (Experian, Equifax, TransUnion). Case-file STATE used only if report addresses were unavailable.</w:t>
      </w:r>
    </w:p>
    <w:p w14:paraId="2F75E71D"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Secondary STATEs (identity profile): Washington (WA)</w:t>
      </w:r>
    </w:p>
    <w:p w14:paraId="59301BE0"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UDAP / Consumer Protection Act(s)</w:t>
      </w:r>
    </w:p>
    <w:p w14:paraId="25AA4023"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Name: California Unfair Competition Law (UCL)</w:t>
      </w:r>
    </w:p>
    <w:p w14:paraId="0F6B377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Citation: Cal. Bus. &amp; Prof. Code §§ 17200 through 17210</w:t>
      </w:r>
    </w:p>
    <w:p w14:paraId="1F3A8A6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Scope: Defines unfair competition to include any unlawful, unfair, or fraudulent business act or practice; unfair, deceptive, untrue, or misleading advertising; and conduct prohibited by California’s false-advertising law.</w:t>
      </w:r>
    </w:p>
    <w:p w14:paraId="23DD16B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Remedies: Private relief is generally equitable and may include injunctions and restitution of money or property acquired through unfair competition; ordinary compensatory damages are not a UCL remedy. Public prosecutors may seek injunctions, restitution, and civil penalties as authorized by law.</w:t>
      </w:r>
    </w:p>
    <w:p w14:paraId="73BC6CB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Private right of action: A private claimant must have suffered injury in fact and lost money or property as a result of the challenged unfair competition. For a fraud-based UCL theory, the named claimant generally must establish actual reliance and causation. UCL actions must generally be commenced within four years after accrual under Cal. Bus. &amp; Prof. Code § 17208.</w:t>
      </w:r>
    </w:p>
    <w:p w14:paraId="1EA4E38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AG enforcement: California Attorney General — Public Rights Division, Consumer Protection Section; authority also arises under Cal. Bus. &amp; Prof. Code §§ 17203–17206 and Cal. Gov. Code § 12510.</w:t>
      </w:r>
    </w:p>
    <w:p w14:paraId="36B9B3E5"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Debt Collection Law(s)</w:t>
      </w:r>
    </w:p>
    <w:p w14:paraId="0D3729B8"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Applicability: Collection/tradeline derogatory activity present — review the Rosenthal Fair Debt Collection Practices Act, the incorporated federal FDCPA standards, and applicable California debt-collection licensing requirements.</w:t>
      </w:r>
    </w:p>
    <w:p w14:paraId="18481CF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lastRenderedPageBreak/>
        <w:t>Overview: The Rosenthal Act regulates collection of consumer debts by covered debt collectors, including specified original creditors and collection entities. It prohibits harassment, threats, deceptive representations, unauthorized communications, and other unfair collection conduct, and incorporates many federal FDCPA requirements through Cal. Civ. Code § 1788.17.</w:t>
      </w:r>
    </w:p>
    <w:p w14:paraId="218AD34B"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Citations: Cal. Civ. Code §§ 1788 through 1788.33; 15 U.S.C. §§ 1692 through 1692p.</w:t>
      </w:r>
    </w:p>
    <w:p w14:paraId="65D8AF3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Regulators: California Department of Financial Protection and Innovation; California Attorney General; CFPB and FTC where federal jurisdiction applies.</w:t>
      </w:r>
    </w:p>
    <w:p w14:paraId="44C7FD45"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Credit Reporting / Mini-FCRA Laws</w:t>
      </w:r>
    </w:p>
    <w:p w14:paraId="474C23C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Mini-FCRA status: California maintains a comprehensive state consumer-reporting statute, the Consumer Credit Reporting Agencies Act (CCRAA), governing permissible purposes, disclosure, accuracy, reinvestigation, identity-theft blocking, furnisher duties, and remedies. Federal FCRA requirements and preemption must be analyzed together with the CCRAA.</w:t>
      </w:r>
    </w:p>
    <w:p w14:paraId="4F0619E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Security freeze: California consumers may place, temporarily lift, or remove a security freeze under Cal. Civ. Code § 1785.11.2; protected-consumer freezes are addressed in § 1785.11.11.</w:t>
      </w:r>
    </w:p>
    <w:p w14:paraId="381BC59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Disclosures: Consumers may obtain file disclosures under the FCRA and Cal. Civ. Code §§ 1785.10 and 1785.15, and may use California security-alert and security-freeze procedures to control specified releases of credit information.</w:t>
      </w:r>
    </w:p>
    <w:p w14:paraId="1C7857E6"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Corrections: Cal. Civ. Code § 1785.16 requires a reasonable reinvestigation of directly disputed information and prompt addition, correction, or deletion when information is inaccurate, missing, or no longer verifiable. Federal dispute rights under 15 U.S.C. § 1681i apply concurrently, subject to preemption and claim-specific analysis.</w:t>
      </w:r>
    </w:p>
    <w:p w14:paraId="4FD0D9D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Fraud alerts: California security alerts are addressed in Cal. Civ. Code § 1785.11.1. Identity-theft blocking and permanent removal procedures are addressed in Cal. Civ. Code § 1785.16(k)–(l), supplemented by federal fraud-alert and blocking rights.</w:t>
      </w:r>
    </w:p>
    <w:p w14:paraId="1A40D07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Remedies: Cal. Civ. Code § 1785.31 permits qualifying consumers to seek actual damages, specified punitive damages for willful violations, injunctive relief, court costs, and reasonable attorney’s fees. Security-alert violations may also carry statutory penalties under § 1785.11.1(k).</w:t>
      </w:r>
    </w:p>
    <w:p w14:paraId="4389244A" w14:textId="77777777" w:rsidR="00756B19" w:rsidRPr="00566B6A" w:rsidRDefault="00F247EE" w:rsidP="00566B6A">
      <w:pPr>
        <w:pStyle w:val="Heading2"/>
        <w:rPr>
          <w:rFonts w:ascii="Courier New" w:hAnsi="Courier New" w:cs="Courier New"/>
          <w:b w:val="0"/>
          <w:color w:val="auto"/>
          <w:sz w:val="22"/>
          <w:szCs w:val="22"/>
        </w:rPr>
      </w:pPr>
      <w:r w:rsidRPr="00566B6A">
        <w:rPr>
          <w:rFonts w:ascii="Courier New" w:hAnsi="Courier New" w:cs="Courier New"/>
          <w:b w:val="0"/>
          <w:color w:val="auto"/>
          <w:sz w:val="22"/>
          <w:szCs w:val="22"/>
        </w:rPr>
        <w:t>FEDERAL FCRA — CORRECTION OR REMOVAL OF INACCURATE ADDRESS, EMPLOYMENT, AND CONTACT INFORMATION</w:t>
      </w:r>
    </w:p>
    <w:p w14:paraId="7F420F48"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Information covered by the consumer file: Under 15 U.S.C. § 1681a(g), a consumer “file” includes all information about the consumer recorded and retained by a consumer reporting agency, regardless of storage method. This permits a consumer to dispute personal identifiers retained in the file, including names, current or former addresses, telephone numbers, and past or present employer information.</w:t>
      </w:r>
    </w:p>
    <w:p w14:paraId="24514CA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lastRenderedPageBreak/>
        <w:t>Maximum possible accuracy: Whenever a consumer reporting agency prepares a consumer report, 15 U.S.C. § 1681e(b) requires reasonable procedures designed to assure maximum possible accuracy of the information concerning the consumer. Incorrect identifying information can support a mixed-file, identity-integrity, or report-accuracy review.</w:t>
      </w:r>
    </w:p>
    <w:p w14:paraId="5DF629C9"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File disclosure and source identification: Under 15 U.S.C. § 1681g(a)(1)–(2), the consumer may request a clear and accurate disclosure of all information in the file and the sources of that information, subject to statutory exceptions. The disclosure should be used to identify each disputed address, telephone number, employer, alias, or other personal-data entry precisely.</w:t>
      </w:r>
    </w:p>
    <w:p w14:paraId="47ADE7AD"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CRA dispute and reasonable reinvestigation: Under 15 U.S.C. § 1681i(a)(1)(A), when the consumer disputes the completeness or accuracy of any item of information in the file and notifies the consumer reporting agency, the agency must conduct a reasonable reinvestigation free of charge, determine whether the item is inaccurate, record its current status, or delete it in accordance with § 1681i(a)(5). Section 1681i(a)(4) requires the agency to review and consider all relevant information submitted by the consumer.</w:t>
      </w:r>
    </w:p>
    <w:p w14:paraId="759DA1A6"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Mandatory deletion or modification: Under 15 U.S.C. § 1681i(a)(5)(A), if the disputed address, employer, telephone number, or other item is found to be inaccurate or incomplete, or cannot be verified, the consumer reporting agency must promptly delete the item or modify it as appropriate and promptly notify the furnisher of the modification or deletion.</w:t>
      </w:r>
    </w:p>
    <w:p w14:paraId="3B4F5A49"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Results, reinsertion safeguards, and prior recipients: Under 15 U.S.C. § 1681i(a)(5)(B), deleted information generally may not be reinserted unless the furnisher certifies that it is complete and accurate, and the consumer must receive timely notice of reinsertion. Section 1681i(a)(6) requires written reinvestigation results and a revised consumer report. Under § 1681i(d), the consumer may request notice of a deletion or dispute notation to designated prior recipients, including recipients of employment reports within the preceding two years and other recipients within the preceding six months.</w:t>
      </w:r>
    </w:p>
    <w:p w14:paraId="6E477B7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Furnisher duties after CRA notice: When an identifiable person furnished the disputed information and receives notice from the consumer reporting agency under 15 U.S.C. § 1681i(a)(2), 15 U.S.C. § 1681s-2(b)(1) generally requires investigation, review of relevant information, reporting of results, and—if the item is inaccurate, incomplete, or unverifiable—prompt modification, deletion, or permanent blocking of the item for reporting purposes.</w:t>
      </w:r>
    </w:p>
    <w:p w14:paraId="475828A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 xml:space="preserve">Correct route for address, telephone, and employer disputes: Regulation V, 12 C.F.R. § 1022.43(b)(1)(i)–(ii), excludes identifying information such as telephone numbers and addresses, and the identity of past or present employers, from the regulation’s mandatory direct-dispute investigation procedure for furnishers. The primary dispute should therefore be </w:t>
      </w:r>
      <w:r w:rsidRPr="00566B6A">
        <w:rPr>
          <w:rFonts w:ascii="Courier New" w:hAnsi="Courier New" w:cs="Courier New"/>
          <w:bCs/>
          <w:sz w:val="22"/>
        </w:rPr>
        <w:lastRenderedPageBreak/>
        <w:t>submitted directly to each consumer reporting agency displaying the inaccurate information. A furnisher may still have duties after receiving the dispute through the agency under 15 U.S.C. § 1681s-2(b), where applicable.</w:t>
      </w:r>
    </w:p>
    <w:p w14:paraId="1C1C2693"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Identity-theft blocking: If an address, employer, telephone number, or related entry resulted from identity theft, 15 U.S.C. § 1681c-2(a) generally requires the consumer reporting agency to block reporting of the identified information within four business days after receiving appropriate proof of identity, an identity-theft report, identification of the information, and the consumer’s statement that the information does not relate to a transaction by the consumer.</w:t>
      </w:r>
    </w:p>
    <w:p w14:paraId="7F0086B4"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Practical limitation—no automatic purge of accurate history: The FCRA does not automatically require deletion merely because a former address or employer is old or no longer current. Request modification when an accurate historical item is incorrectly labeled as current. Request deletion when the item is not the consumer’s, is materially inaccurate or incomplete, cannot be verified, reflects a mixed file, or resulted from identity theft. Preserve the report page, proof of current identity and residence, employment records, dispute confirmation, and reinvestigation results.</w:t>
      </w:r>
    </w:p>
    <w:p w14:paraId="523C9529"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Security Freeze / Fraud Alert / Identity Restoration</w:t>
      </w:r>
    </w:p>
    <w:p w14:paraId="793323C7"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Identity theft: Cal. Penal Code § 530.5 criminalizes willfully obtaining and using another person’s personal identifying information for an unlawful purpose, including obtaining or attempting to obtain credit, goods, services, real property, or medical information without consent.</w:t>
      </w:r>
    </w:p>
    <w:p w14:paraId="39F079F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Police report and credit blocking: A California identity-theft victim should preserve a police report under Cal. Penal Code § 530.5 and submit it to each consumer reporting agency. Cal. Civ. Code § 1785.16(k) generally requires prompt and permanent blocking of information alleged to result from identity theft, subject to statutory unblocking safeguards.</w:t>
      </w:r>
    </w:p>
    <w:p w14:paraId="59849994"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Restoration: Restoration may involve police and FTC identity-theft reports, federal and California fraud alerts, security freezes, creditor notifications, account applications, source records, and documented bureau dispute and blocking trails.</w:t>
      </w:r>
    </w:p>
    <w:p w14:paraId="4F04A53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Reporting: Maintain police reports, FTC IdentityTheft.gov reports, freeze confirmations, creditor notices, bureau dispute confirmations, reinvestigation results, identity-theft block notices, and agency confirmation numbers.</w:t>
      </w:r>
    </w:p>
    <w:p w14:paraId="0043491D"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Privacy + Data Security + Breach Notification</w:t>
      </w:r>
    </w:p>
    <w:p w14:paraId="3058830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 xml:space="preserve">Breach notice: Cal. Civ. Code § 1798.29 governs state-agency breach notices, and § 1798.82 governs notices by individuals and businesses conducting business in California. Covered </w:t>
      </w:r>
      <w:r w:rsidRPr="00566B6A">
        <w:rPr>
          <w:rFonts w:ascii="Courier New" w:hAnsi="Courier New" w:cs="Courier New"/>
          <w:bCs/>
          <w:sz w:val="22"/>
        </w:rPr>
        <w:lastRenderedPageBreak/>
        <w:t>notices generally must be made within the statutory period after discovery, subject to law-enforcement delay and investigation requirements.</w:t>
      </w:r>
    </w:p>
    <w:p w14:paraId="4EA669F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Article range: California’s state-agency breach requirements are codified at Cal. Civ. Code § 1798.29, and business/customer-record breach requirements are codified at §§ 1798.80 through 1798.84.1, including § 1798.82.</w:t>
      </w:r>
    </w:p>
    <w:p w14:paraId="613B540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Privacy rights: California maintains additional privacy statutes beyond this module. This Section 3A limits its treatment to the listed breach-notification, consumer-reporting, identity-theft, and consumer-protection authorities.</w:t>
      </w:r>
    </w:p>
    <w:p w14:paraId="3C14B9E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Security duties: Covered entities should preserve breach-investigation records, affected data elements, notice content, delivery dates, law-enforcement delay requests, sample Attorney General submissions when required, and remediation documentation.</w:t>
      </w:r>
    </w:p>
    <w:p w14:paraId="022D0028"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AG / Regulator Authority + Policies</w:t>
      </w:r>
    </w:p>
    <w:p w14:paraId="136BB036"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California Attorney General: Public Rights Division, Consumer Protection Section — consumer complaint intake, investigation, and UCL enforcement.</w:t>
      </w:r>
    </w:p>
    <w:p w14:paraId="2553CB8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California Department of Financial Protection and Innovation: Debt-collector licensing, complaint review, examination, and administrative oversight within its jurisdiction.</w:t>
      </w:r>
    </w:p>
    <w:p w14:paraId="1AB2F413"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California Privacy Protection Agency / California Attorney General: Privacy and breach-related complaint or enforcement pathways where the agency and statutory subject matter fall within their respective jurisdiction.</w:t>
      </w:r>
    </w:p>
    <w:p w14:paraId="5E4A3911"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Federal escalation: CFPB and FTC complaint pathways may complement state intake when federal consumer-finance or debt-collection law applies.</w:t>
      </w:r>
    </w:p>
    <w:p w14:paraId="607C3BE8"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Local Ordinances</w:t>
      </w:r>
    </w:p>
    <w:p w14:paraId="1913215B"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Local ordinances are not typically the controlling authority for credit-reporting disputes; none are identified as directly applicable in California without municipal verification.</w:t>
      </w:r>
    </w:p>
    <w:p w14:paraId="0E67A78E" w14:textId="77777777" w:rsidR="00566B6A" w:rsidRPr="00566B6A" w:rsidRDefault="00566B6A" w:rsidP="00566B6A">
      <w:pPr>
        <w:spacing w:after="0"/>
        <w:rPr>
          <w:rFonts w:ascii="Courier New" w:hAnsi="Courier New" w:cs="Courier New"/>
          <w:bCs/>
          <w:sz w:val="22"/>
        </w:rPr>
      </w:pPr>
    </w:p>
    <w:p w14:paraId="0DF34D05"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State Authority Table</w:t>
      </w:r>
    </w:p>
    <w:tbl>
      <w:tblPr>
        <w:tblStyle w:val="TableGrid"/>
        <w:tblW w:w="0" w:type="auto"/>
        <w:jc w:val="center"/>
        <w:tblLayout w:type="fixed"/>
        <w:tblLook w:val="04A0" w:firstRow="1" w:lastRow="0" w:firstColumn="1" w:lastColumn="0" w:noHBand="0" w:noVBand="1"/>
      </w:tblPr>
      <w:tblGrid>
        <w:gridCol w:w="1440"/>
        <w:gridCol w:w="2448"/>
        <w:gridCol w:w="3168"/>
        <w:gridCol w:w="3456"/>
        <w:gridCol w:w="3888"/>
      </w:tblGrid>
      <w:tr w:rsidR="00756B19" w:rsidRPr="00566B6A" w14:paraId="68DB9D13" w14:textId="77777777">
        <w:trPr>
          <w:cantSplit/>
          <w:tblHeader/>
          <w:jc w:val="center"/>
        </w:trPr>
        <w:tc>
          <w:tcPr>
            <w:tcW w:w="1440" w:type="dxa"/>
            <w:shd w:val="clear" w:color="auto" w:fill="D9EAF7"/>
            <w:tcMar>
              <w:top w:w="55" w:type="dxa"/>
              <w:left w:w="55" w:type="dxa"/>
              <w:bottom w:w="55" w:type="dxa"/>
              <w:right w:w="55" w:type="dxa"/>
            </w:tcMar>
            <w:vAlign w:val="center"/>
          </w:tcPr>
          <w:p w14:paraId="49DE6BB1"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Type</w:t>
            </w:r>
          </w:p>
        </w:tc>
        <w:tc>
          <w:tcPr>
            <w:tcW w:w="2448" w:type="dxa"/>
            <w:shd w:val="clear" w:color="auto" w:fill="D9EAF7"/>
            <w:tcMar>
              <w:top w:w="55" w:type="dxa"/>
              <w:left w:w="55" w:type="dxa"/>
              <w:bottom w:w="55" w:type="dxa"/>
              <w:right w:w="55" w:type="dxa"/>
            </w:tcMar>
            <w:vAlign w:val="center"/>
          </w:tcPr>
          <w:p w14:paraId="74D64BF3"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3168" w:type="dxa"/>
            <w:shd w:val="clear" w:color="auto" w:fill="D9EAF7"/>
            <w:tcMar>
              <w:top w:w="55" w:type="dxa"/>
              <w:left w:w="55" w:type="dxa"/>
              <w:bottom w:w="55" w:type="dxa"/>
              <w:right w:w="55" w:type="dxa"/>
            </w:tcMar>
            <w:vAlign w:val="center"/>
          </w:tcPr>
          <w:p w14:paraId="5C2CA3A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What it Covers</w:t>
            </w:r>
          </w:p>
        </w:tc>
        <w:tc>
          <w:tcPr>
            <w:tcW w:w="3456" w:type="dxa"/>
            <w:shd w:val="clear" w:color="auto" w:fill="D9EAF7"/>
            <w:tcMar>
              <w:top w:w="55" w:type="dxa"/>
              <w:left w:w="55" w:type="dxa"/>
              <w:bottom w:w="55" w:type="dxa"/>
              <w:right w:w="55" w:type="dxa"/>
            </w:tcMar>
            <w:vAlign w:val="center"/>
          </w:tcPr>
          <w:p w14:paraId="378E6F8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Remedies / Relief</w:t>
            </w:r>
          </w:p>
        </w:tc>
        <w:tc>
          <w:tcPr>
            <w:tcW w:w="3888" w:type="dxa"/>
            <w:shd w:val="clear" w:color="auto" w:fill="D9EAF7"/>
            <w:tcMar>
              <w:top w:w="55" w:type="dxa"/>
              <w:left w:w="55" w:type="dxa"/>
              <w:bottom w:w="55" w:type="dxa"/>
              <w:right w:w="55" w:type="dxa"/>
            </w:tcMar>
            <w:vAlign w:val="center"/>
          </w:tcPr>
          <w:p w14:paraId="6E5909D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How it Supports Record-Building</w:t>
            </w:r>
          </w:p>
        </w:tc>
      </w:tr>
      <w:tr w:rsidR="00756B19" w:rsidRPr="00566B6A" w14:paraId="6FE1F95B" w14:textId="77777777">
        <w:trPr>
          <w:cantSplit/>
          <w:jc w:val="center"/>
        </w:trPr>
        <w:tc>
          <w:tcPr>
            <w:tcW w:w="1440" w:type="dxa"/>
            <w:tcMar>
              <w:top w:w="50" w:type="dxa"/>
              <w:left w:w="55" w:type="dxa"/>
              <w:bottom w:w="50" w:type="dxa"/>
              <w:right w:w="55" w:type="dxa"/>
            </w:tcMar>
          </w:tcPr>
          <w:p w14:paraId="4C25DA9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tcMar>
              <w:top w:w="50" w:type="dxa"/>
              <w:left w:w="55" w:type="dxa"/>
              <w:bottom w:w="50" w:type="dxa"/>
              <w:right w:w="55" w:type="dxa"/>
            </w:tcMar>
          </w:tcPr>
          <w:p w14:paraId="634084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Cal. Bus. &amp; Prof. Code §§ 17200–17210</w:t>
            </w:r>
          </w:p>
        </w:tc>
        <w:tc>
          <w:tcPr>
            <w:tcW w:w="3168" w:type="dxa"/>
            <w:tcMar>
              <w:top w:w="50" w:type="dxa"/>
              <w:left w:w="55" w:type="dxa"/>
              <w:bottom w:w="50" w:type="dxa"/>
              <w:right w:w="55" w:type="dxa"/>
            </w:tcMar>
          </w:tcPr>
          <w:p w14:paraId="3D24A60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UCL — unlawful, unfair, or fraudulent business acts and misleading advertising</w:t>
            </w:r>
          </w:p>
        </w:tc>
        <w:tc>
          <w:tcPr>
            <w:tcW w:w="3456" w:type="dxa"/>
            <w:tcMar>
              <w:top w:w="50" w:type="dxa"/>
              <w:left w:w="55" w:type="dxa"/>
              <w:bottom w:w="50" w:type="dxa"/>
              <w:right w:w="55" w:type="dxa"/>
            </w:tcMar>
          </w:tcPr>
          <w:p w14:paraId="420169D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Private injunction and restitution; public injunction, restitution, and civil penalties</w:t>
            </w:r>
          </w:p>
        </w:tc>
        <w:tc>
          <w:tcPr>
            <w:tcW w:w="3888" w:type="dxa"/>
            <w:tcMar>
              <w:top w:w="50" w:type="dxa"/>
              <w:left w:w="55" w:type="dxa"/>
              <w:bottom w:w="50" w:type="dxa"/>
              <w:right w:w="55" w:type="dxa"/>
            </w:tcMar>
          </w:tcPr>
          <w:p w14:paraId="4B46A2D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Transaction and advertising proof; reliance; lost money or property; restitution trace; four-year chronology</w:t>
            </w:r>
          </w:p>
        </w:tc>
      </w:tr>
      <w:tr w:rsidR="00756B19" w:rsidRPr="00566B6A" w14:paraId="2B74E5E6" w14:textId="77777777">
        <w:trPr>
          <w:cantSplit/>
          <w:jc w:val="center"/>
        </w:trPr>
        <w:tc>
          <w:tcPr>
            <w:tcW w:w="1440" w:type="dxa"/>
            <w:shd w:val="clear" w:color="auto" w:fill="F7FAFC"/>
            <w:tcMar>
              <w:top w:w="50" w:type="dxa"/>
              <w:left w:w="55" w:type="dxa"/>
              <w:bottom w:w="50" w:type="dxa"/>
              <w:right w:w="55" w:type="dxa"/>
            </w:tcMar>
          </w:tcPr>
          <w:p w14:paraId="4B27FD7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Statute/Act</w:t>
            </w:r>
          </w:p>
        </w:tc>
        <w:tc>
          <w:tcPr>
            <w:tcW w:w="2448" w:type="dxa"/>
            <w:shd w:val="clear" w:color="auto" w:fill="F7FAFC"/>
            <w:tcMar>
              <w:top w:w="50" w:type="dxa"/>
              <w:left w:w="55" w:type="dxa"/>
              <w:bottom w:w="50" w:type="dxa"/>
              <w:right w:w="55" w:type="dxa"/>
            </w:tcMar>
          </w:tcPr>
          <w:p w14:paraId="5832826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Cal. Civ. Code §§ 1788–1788.33</w:t>
            </w:r>
          </w:p>
        </w:tc>
        <w:tc>
          <w:tcPr>
            <w:tcW w:w="3168" w:type="dxa"/>
            <w:shd w:val="clear" w:color="auto" w:fill="F7FAFC"/>
            <w:tcMar>
              <w:top w:w="50" w:type="dxa"/>
              <w:left w:w="55" w:type="dxa"/>
              <w:bottom w:w="50" w:type="dxa"/>
              <w:right w:w="55" w:type="dxa"/>
            </w:tcMar>
          </w:tcPr>
          <w:p w14:paraId="24C0DB7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Rosenthal Act — consumer debt-collection communications and conduct</w:t>
            </w:r>
          </w:p>
        </w:tc>
        <w:tc>
          <w:tcPr>
            <w:tcW w:w="3456" w:type="dxa"/>
            <w:shd w:val="clear" w:color="auto" w:fill="F7FAFC"/>
            <w:tcMar>
              <w:top w:w="50" w:type="dxa"/>
              <w:left w:w="55" w:type="dxa"/>
              <w:bottom w:w="50" w:type="dxa"/>
              <w:right w:w="55" w:type="dxa"/>
            </w:tcMar>
          </w:tcPr>
          <w:p w14:paraId="15B14E3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Actual damages; $100–$1,000 additional penalty for willful and knowing violations; fees and costs where authorized</w:t>
            </w:r>
          </w:p>
        </w:tc>
        <w:tc>
          <w:tcPr>
            <w:tcW w:w="3888" w:type="dxa"/>
            <w:shd w:val="clear" w:color="auto" w:fill="F7FAFC"/>
            <w:tcMar>
              <w:top w:w="50" w:type="dxa"/>
              <w:left w:w="55" w:type="dxa"/>
              <w:bottom w:w="50" w:type="dxa"/>
              <w:right w:w="55" w:type="dxa"/>
            </w:tcMar>
          </w:tcPr>
          <w:p w14:paraId="4E12348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Collector status; letters; call logs; recordings; account ledger; dispute and cure chronology</w:t>
            </w:r>
          </w:p>
        </w:tc>
      </w:tr>
      <w:tr w:rsidR="00756B19" w:rsidRPr="00566B6A" w14:paraId="2E7F3F76" w14:textId="77777777">
        <w:trPr>
          <w:cantSplit/>
          <w:jc w:val="center"/>
        </w:trPr>
        <w:tc>
          <w:tcPr>
            <w:tcW w:w="1440" w:type="dxa"/>
            <w:tcMar>
              <w:top w:w="50" w:type="dxa"/>
              <w:left w:w="55" w:type="dxa"/>
              <w:bottom w:w="50" w:type="dxa"/>
              <w:right w:w="55" w:type="dxa"/>
            </w:tcMar>
          </w:tcPr>
          <w:p w14:paraId="3EA4626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tcMar>
              <w:top w:w="50" w:type="dxa"/>
              <w:left w:w="55" w:type="dxa"/>
              <w:bottom w:w="50" w:type="dxa"/>
              <w:right w:w="55" w:type="dxa"/>
            </w:tcMar>
          </w:tcPr>
          <w:p w14:paraId="435FC59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Cal. Civ. Code §§ 1785.1–1785.36</w:t>
            </w:r>
          </w:p>
        </w:tc>
        <w:tc>
          <w:tcPr>
            <w:tcW w:w="3168" w:type="dxa"/>
            <w:tcMar>
              <w:top w:w="50" w:type="dxa"/>
              <w:left w:w="55" w:type="dxa"/>
              <w:bottom w:w="50" w:type="dxa"/>
              <w:right w:w="55" w:type="dxa"/>
            </w:tcMar>
          </w:tcPr>
          <w:p w14:paraId="4C2BDFD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CCRAA — disclosures, accuracy, reinvestigation, furnisher duties, alerts, freezes, and identity-theft blocking</w:t>
            </w:r>
          </w:p>
        </w:tc>
        <w:tc>
          <w:tcPr>
            <w:tcW w:w="3456" w:type="dxa"/>
            <w:tcMar>
              <w:top w:w="50" w:type="dxa"/>
              <w:left w:w="55" w:type="dxa"/>
              <w:bottom w:w="50" w:type="dxa"/>
              <w:right w:w="55" w:type="dxa"/>
            </w:tcMar>
          </w:tcPr>
          <w:p w14:paraId="4A37E8F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Correction or deletion; actual and punitive damages where authorized; injunction; fees and costs</w:t>
            </w:r>
          </w:p>
        </w:tc>
        <w:tc>
          <w:tcPr>
            <w:tcW w:w="3888" w:type="dxa"/>
            <w:tcMar>
              <w:top w:w="50" w:type="dxa"/>
              <w:left w:w="55" w:type="dxa"/>
              <w:bottom w:w="50" w:type="dxa"/>
              <w:right w:w="55" w:type="dxa"/>
            </w:tcMar>
          </w:tcPr>
          <w:p w14:paraId="5DF22B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Credit-report pages; dispute evidence; source data; reinvestigation results; freeze and block confirmations</w:t>
            </w:r>
          </w:p>
        </w:tc>
      </w:tr>
      <w:tr w:rsidR="00756B19" w:rsidRPr="00566B6A" w14:paraId="7D717879" w14:textId="77777777">
        <w:trPr>
          <w:cantSplit/>
          <w:jc w:val="center"/>
        </w:trPr>
        <w:tc>
          <w:tcPr>
            <w:tcW w:w="1440" w:type="dxa"/>
            <w:shd w:val="clear" w:color="auto" w:fill="F7FAFC"/>
            <w:tcMar>
              <w:top w:w="50" w:type="dxa"/>
              <w:left w:w="55" w:type="dxa"/>
              <w:bottom w:w="50" w:type="dxa"/>
              <w:right w:w="55" w:type="dxa"/>
            </w:tcMar>
          </w:tcPr>
          <w:p w14:paraId="62B2522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shd w:val="clear" w:color="auto" w:fill="F7FAFC"/>
            <w:tcMar>
              <w:top w:w="50" w:type="dxa"/>
              <w:left w:w="55" w:type="dxa"/>
              <w:bottom w:w="50" w:type="dxa"/>
              <w:right w:w="55" w:type="dxa"/>
            </w:tcMar>
          </w:tcPr>
          <w:p w14:paraId="6E069C8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Cal. Civ. Code §§ 1798.29, 1798.82</w:t>
            </w:r>
          </w:p>
        </w:tc>
        <w:tc>
          <w:tcPr>
            <w:tcW w:w="3168" w:type="dxa"/>
            <w:shd w:val="clear" w:color="auto" w:fill="F7FAFC"/>
            <w:tcMar>
              <w:top w:w="50" w:type="dxa"/>
              <w:left w:w="55" w:type="dxa"/>
              <w:bottom w:w="50" w:type="dxa"/>
              <w:right w:w="55" w:type="dxa"/>
            </w:tcMar>
          </w:tcPr>
          <w:p w14:paraId="0EAFB24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State-agency and business security-breach notice</w:t>
            </w:r>
          </w:p>
        </w:tc>
        <w:tc>
          <w:tcPr>
            <w:tcW w:w="3456" w:type="dxa"/>
            <w:shd w:val="clear" w:color="auto" w:fill="F7FAFC"/>
            <w:tcMar>
              <w:top w:w="50" w:type="dxa"/>
              <w:left w:w="55" w:type="dxa"/>
              <w:bottom w:w="50" w:type="dxa"/>
              <w:right w:w="55" w:type="dxa"/>
            </w:tcMar>
          </w:tcPr>
          <w:p w14:paraId="0556E8F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Required notice and remediation; damages and injunction where authorized by applicable provisions</w:t>
            </w:r>
          </w:p>
        </w:tc>
        <w:tc>
          <w:tcPr>
            <w:tcW w:w="3888" w:type="dxa"/>
            <w:shd w:val="clear" w:color="auto" w:fill="F7FAFC"/>
            <w:tcMar>
              <w:top w:w="50" w:type="dxa"/>
              <w:left w:w="55" w:type="dxa"/>
              <w:bottom w:w="50" w:type="dxa"/>
              <w:right w:w="55" w:type="dxa"/>
            </w:tcMar>
          </w:tcPr>
          <w:p w14:paraId="72352FA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Breach notice; dates; affected data; AG submission; investigation and remediation records</w:t>
            </w:r>
          </w:p>
        </w:tc>
      </w:tr>
      <w:tr w:rsidR="00756B19" w:rsidRPr="00566B6A" w14:paraId="78460C98" w14:textId="77777777">
        <w:trPr>
          <w:cantSplit/>
          <w:jc w:val="center"/>
        </w:trPr>
        <w:tc>
          <w:tcPr>
            <w:tcW w:w="1440" w:type="dxa"/>
            <w:tcMar>
              <w:top w:w="50" w:type="dxa"/>
              <w:left w:w="55" w:type="dxa"/>
              <w:bottom w:w="50" w:type="dxa"/>
              <w:right w:w="55" w:type="dxa"/>
            </w:tcMar>
          </w:tcPr>
          <w:p w14:paraId="0527A85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tcMar>
              <w:top w:w="50" w:type="dxa"/>
              <w:left w:w="55" w:type="dxa"/>
              <w:bottom w:w="50" w:type="dxa"/>
              <w:right w:w="55" w:type="dxa"/>
            </w:tcMar>
          </w:tcPr>
          <w:p w14:paraId="5D71676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Cal. Penal Code § 530.5; Cal. Civ. Code § 1785.16(k)–(l)</w:t>
            </w:r>
          </w:p>
        </w:tc>
        <w:tc>
          <w:tcPr>
            <w:tcW w:w="3168" w:type="dxa"/>
            <w:tcMar>
              <w:top w:w="50" w:type="dxa"/>
              <w:left w:w="55" w:type="dxa"/>
              <w:bottom w:w="50" w:type="dxa"/>
              <w:right w:w="55" w:type="dxa"/>
            </w:tcMar>
          </w:tcPr>
          <w:p w14:paraId="629969F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 theft; police reports; permanent credit-file blocking</w:t>
            </w:r>
          </w:p>
        </w:tc>
        <w:tc>
          <w:tcPr>
            <w:tcW w:w="3456" w:type="dxa"/>
            <w:tcMar>
              <w:top w:w="50" w:type="dxa"/>
              <w:left w:w="55" w:type="dxa"/>
              <w:bottom w:w="50" w:type="dxa"/>
              <w:right w:w="55" w:type="dxa"/>
            </w:tcMar>
          </w:tcPr>
          <w:p w14:paraId="3282C00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Criminal penalties; identity-theft block; correction or deletion; restoration procedures</w:t>
            </w:r>
          </w:p>
        </w:tc>
        <w:tc>
          <w:tcPr>
            <w:tcW w:w="3888" w:type="dxa"/>
            <w:tcMar>
              <w:top w:w="50" w:type="dxa"/>
              <w:left w:w="55" w:type="dxa"/>
              <w:bottom w:w="50" w:type="dxa"/>
              <w:right w:w="55" w:type="dxa"/>
            </w:tcMar>
          </w:tcPr>
          <w:p w14:paraId="5D0DDF8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Police/FTC report; identity affidavit; creditor and bureau notices; block and reinvestigation records</w:t>
            </w:r>
          </w:p>
        </w:tc>
      </w:tr>
      <w:tr w:rsidR="00756B19" w:rsidRPr="00566B6A" w14:paraId="4D1F75C6" w14:textId="77777777">
        <w:trPr>
          <w:cantSplit/>
          <w:jc w:val="center"/>
        </w:trPr>
        <w:tc>
          <w:tcPr>
            <w:tcW w:w="1440" w:type="dxa"/>
            <w:shd w:val="clear" w:color="auto" w:fill="F7FAFC"/>
            <w:tcMar>
              <w:top w:w="50" w:type="dxa"/>
              <w:left w:w="55" w:type="dxa"/>
              <w:bottom w:w="50" w:type="dxa"/>
              <w:right w:w="55" w:type="dxa"/>
            </w:tcMar>
          </w:tcPr>
          <w:p w14:paraId="325E246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Policy</w:t>
            </w:r>
          </w:p>
        </w:tc>
        <w:tc>
          <w:tcPr>
            <w:tcW w:w="2448" w:type="dxa"/>
            <w:shd w:val="clear" w:color="auto" w:fill="F7FAFC"/>
            <w:tcMar>
              <w:top w:w="50" w:type="dxa"/>
              <w:left w:w="55" w:type="dxa"/>
              <w:bottom w:w="50" w:type="dxa"/>
              <w:right w:w="55" w:type="dxa"/>
            </w:tcMar>
          </w:tcPr>
          <w:p w14:paraId="60A7163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California AG — Public Rights Division, Consumer Protection Section</w:t>
            </w:r>
          </w:p>
        </w:tc>
        <w:tc>
          <w:tcPr>
            <w:tcW w:w="3168" w:type="dxa"/>
            <w:shd w:val="clear" w:color="auto" w:fill="F7FAFC"/>
            <w:tcMar>
              <w:top w:w="50" w:type="dxa"/>
              <w:left w:w="55" w:type="dxa"/>
              <w:bottom w:w="50" w:type="dxa"/>
              <w:right w:w="55" w:type="dxa"/>
            </w:tcMar>
          </w:tcPr>
          <w:p w14:paraId="050C794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Consumer complaint intake and UCL enforcement</w:t>
            </w:r>
          </w:p>
        </w:tc>
        <w:tc>
          <w:tcPr>
            <w:tcW w:w="3456" w:type="dxa"/>
            <w:shd w:val="clear" w:color="auto" w:fill="F7FAFC"/>
            <w:tcMar>
              <w:top w:w="50" w:type="dxa"/>
              <w:left w:w="55" w:type="dxa"/>
              <w:bottom w:w="50" w:type="dxa"/>
              <w:right w:w="55" w:type="dxa"/>
            </w:tcMar>
          </w:tcPr>
          <w:p w14:paraId="4A945F5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Review, investigation, voluntary compliance, injunction, restitution, or civil enforcement as authorized</w:t>
            </w:r>
          </w:p>
        </w:tc>
        <w:tc>
          <w:tcPr>
            <w:tcW w:w="3888" w:type="dxa"/>
            <w:shd w:val="clear" w:color="auto" w:fill="F7FAFC"/>
            <w:tcMar>
              <w:top w:w="50" w:type="dxa"/>
              <w:left w:w="55" w:type="dxa"/>
              <w:bottom w:w="50" w:type="dxa"/>
              <w:right w:w="55" w:type="dxa"/>
            </w:tcMar>
          </w:tcPr>
          <w:p w14:paraId="391A9DA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Complaint ID; attachments; business response; agency correspondence; chronology</w:t>
            </w:r>
          </w:p>
        </w:tc>
      </w:tr>
      <w:tr w:rsidR="00756B19" w:rsidRPr="00566B6A" w14:paraId="41D89716" w14:textId="77777777">
        <w:trPr>
          <w:cantSplit/>
          <w:jc w:val="center"/>
        </w:trPr>
        <w:tc>
          <w:tcPr>
            <w:tcW w:w="1440" w:type="dxa"/>
            <w:tcMar>
              <w:top w:w="50" w:type="dxa"/>
              <w:left w:w="55" w:type="dxa"/>
              <w:bottom w:w="50" w:type="dxa"/>
              <w:right w:w="55" w:type="dxa"/>
            </w:tcMar>
          </w:tcPr>
          <w:p w14:paraId="4AF5FFC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Regulator</w:t>
            </w:r>
          </w:p>
        </w:tc>
        <w:tc>
          <w:tcPr>
            <w:tcW w:w="2448" w:type="dxa"/>
            <w:tcMar>
              <w:top w:w="50" w:type="dxa"/>
              <w:left w:w="55" w:type="dxa"/>
              <w:bottom w:w="50" w:type="dxa"/>
              <w:right w:w="55" w:type="dxa"/>
            </w:tcMar>
          </w:tcPr>
          <w:p w14:paraId="5A6331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California DFPI / other authorized agencies</w:t>
            </w:r>
          </w:p>
        </w:tc>
        <w:tc>
          <w:tcPr>
            <w:tcW w:w="3168" w:type="dxa"/>
            <w:tcMar>
              <w:top w:w="50" w:type="dxa"/>
              <w:left w:w="55" w:type="dxa"/>
              <w:bottom w:w="50" w:type="dxa"/>
              <w:right w:w="55" w:type="dxa"/>
            </w:tcMar>
          </w:tcPr>
          <w:p w14:paraId="2A65D6B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Licensed debt collectors and state-supervised financial entities</w:t>
            </w:r>
          </w:p>
        </w:tc>
        <w:tc>
          <w:tcPr>
            <w:tcW w:w="3456" w:type="dxa"/>
            <w:tcMar>
              <w:top w:w="50" w:type="dxa"/>
              <w:left w:w="55" w:type="dxa"/>
              <w:bottom w:w="50" w:type="dxa"/>
              <w:right w:w="55" w:type="dxa"/>
            </w:tcMar>
          </w:tcPr>
          <w:p w14:paraId="1FEB22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License review, examination, complaint handling, and administrative action where authorized</w:t>
            </w:r>
          </w:p>
        </w:tc>
        <w:tc>
          <w:tcPr>
            <w:tcW w:w="3888" w:type="dxa"/>
            <w:tcMar>
              <w:top w:w="50" w:type="dxa"/>
              <w:left w:w="55" w:type="dxa"/>
              <w:bottom w:w="50" w:type="dxa"/>
              <w:right w:w="55" w:type="dxa"/>
            </w:tcMar>
          </w:tcPr>
          <w:p w14:paraId="1A9ADB3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License lookup; complaint file; regulator correspondence; licensing and ownership records</w:t>
            </w:r>
          </w:p>
        </w:tc>
      </w:tr>
      <w:tr w:rsidR="00756B19" w:rsidRPr="00566B6A" w14:paraId="2D9A5252" w14:textId="77777777">
        <w:trPr>
          <w:cantSplit/>
          <w:jc w:val="center"/>
        </w:trPr>
        <w:tc>
          <w:tcPr>
            <w:tcW w:w="1440" w:type="dxa"/>
            <w:shd w:val="clear" w:color="auto" w:fill="F7FAFC"/>
            <w:tcMar>
              <w:top w:w="50" w:type="dxa"/>
              <w:left w:w="55" w:type="dxa"/>
              <w:bottom w:w="50" w:type="dxa"/>
              <w:right w:w="55" w:type="dxa"/>
            </w:tcMar>
          </w:tcPr>
          <w:p w14:paraId="2D28F31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Ordinance</w:t>
            </w:r>
          </w:p>
        </w:tc>
        <w:tc>
          <w:tcPr>
            <w:tcW w:w="2448" w:type="dxa"/>
            <w:shd w:val="clear" w:color="auto" w:fill="F7FAFC"/>
            <w:tcMar>
              <w:top w:w="50" w:type="dxa"/>
              <w:left w:w="55" w:type="dxa"/>
              <w:bottom w:w="50" w:type="dxa"/>
              <w:right w:w="55" w:type="dxa"/>
            </w:tcMar>
          </w:tcPr>
          <w:p w14:paraId="1703B4B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Verification Required</w:t>
            </w:r>
          </w:p>
        </w:tc>
        <w:tc>
          <w:tcPr>
            <w:tcW w:w="3168" w:type="dxa"/>
            <w:shd w:val="clear" w:color="auto" w:fill="F7FAFC"/>
            <w:tcMar>
              <w:top w:w="50" w:type="dxa"/>
              <w:left w:w="55" w:type="dxa"/>
              <w:bottom w:w="50" w:type="dxa"/>
              <w:right w:w="55" w:type="dxa"/>
            </w:tcMar>
          </w:tcPr>
          <w:p w14:paraId="0438C32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Municipal consumer-affairs codes</w:t>
            </w:r>
          </w:p>
        </w:tc>
        <w:tc>
          <w:tcPr>
            <w:tcW w:w="3456" w:type="dxa"/>
            <w:shd w:val="clear" w:color="auto" w:fill="F7FAFC"/>
            <w:tcMar>
              <w:top w:w="50" w:type="dxa"/>
              <w:left w:w="55" w:type="dxa"/>
              <w:bottom w:w="50" w:type="dxa"/>
              <w:right w:w="55" w:type="dxa"/>
            </w:tcMar>
          </w:tcPr>
          <w:p w14:paraId="10A252A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Verification Required</w:t>
            </w:r>
          </w:p>
        </w:tc>
        <w:tc>
          <w:tcPr>
            <w:tcW w:w="3888" w:type="dxa"/>
            <w:shd w:val="clear" w:color="auto" w:fill="F7FAFC"/>
            <w:tcMar>
              <w:top w:w="50" w:type="dxa"/>
              <w:left w:w="55" w:type="dxa"/>
              <w:bottom w:w="50" w:type="dxa"/>
              <w:right w:w="55" w:type="dxa"/>
            </w:tcMar>
          </w:tcPr>
          <w:p w14:paraId="3E49BB1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Secondary to California and federal frameworks</w:t>
            </w:r>
          </w:p>
        </w:tc>
      </w:tr>
      <w:tr w:rsidR="00756B19" w:rsidRPr="00566B6A" w14:paraId="11219014" w14:textId="77777777">
        <w:trPr>
          <w:jc w:val="center"/>
        </w:trPr>
        <w:tc>
          <w:tcPr>
            <w:tcW w:w="1440" w:type="dxa"/>
          </w:tcPr>
          <w:p w14:paraId="1454D0C9" w14:textId="77777777" w:rsidR="00756B19" w:rsidRPr="00566B6A" w:rsidRDefault="00F247EE">
            <w:pPr>
              <w:rPr>
                <w:rFonts w:ascii="Courier New" w:hAnsi="Courier New" w:cs="Courier New"/>
                <w:sz w:val="22"/>
              </w:rPr>
            </w:pPr>
            <w:r w:rsidRPr="00566B6A">
              <w:rPr>
                <w:rFonts w:ascii="Courier New" w:hAnsi="Courier New" w:cs="Courier New"/>
                <w:sz w:val="22"/>
              </w:rPr>
              <w:t>Federal Statute</w:t>
            </w:r>
          </w:p>
        </w:tc>
        <w:tc>
          <w:tcPr>
            <w:tcW w:w="2448" w:type="dxa"/>
          </w:tcPr>
          <w:p w14:paraId="14DA5CF4" w14:textId="77777777" w:rsidR="00756B19" w:rsidRPr="00566B6A" w:rsidRDefault="00F247EE">
            <w:pPr>
              <w:rPr>
                <w:rFonts w:ascii="Courier New" w:hAnsi="Courier New" w:cs="Courier New"/>
                <w:sz w:val="22"/>
              </w:rPr>
            </w:pPr>
            <w:r w:rsidRPr="00566B6A">
              <w:rPr>
                <w:rFonts w:ascii="Courier New" w:hAnsi="Courier New" w:cs="Courier New"/>
                <w:sz w:val="22"/>
              </w:rPr>
              <w:t>15 U.S.C. §§ 1681a(g), 1681e(b), 1681g(a), 1681i(a), (d)</w:t>
            </w:r>
          </w:p>
        </w:tc>
        <w:tc>
          <w:tcPr>
            <w:tcW w:w="3168" w:type="dxa"/>
          </w:tcPr>
          <w:p w14:paraId="182CBD62" w14:textId="77777777" w:rsidR="00756B19" w:rsidRPr="00566B6A" w:rsidRDefault="00F247EE">
            <w:pPr>
              <w:rPr>
                <w:rFonts w:ascii="Courier New" w:hAnsi="Courier New" w:cs="Courier New"/>
                <w:sz w:val="22"/>
              </w:rPr>
            </w:pPr>
            <w:r w:rsidRPr="00566B6A">
              <w:rPr>
                <w:rFonts w:ascii="Courier New" w:hAnsi="Courier New" w:cs="Courier New"/>
                <w:sz w:val="22"/>
              </w:rPr>
              <w:t>Personal identifiers and employer information in the consumer file; disclosure, accuracy, reinvestigation, correction, and deletion</w:t>
            </w:r>
          </w:p>
        </w:tc>
        <w:tc>
          <w:tcPr>
            <w:tcW w:w="3456" w:type="dxa"/>
          </w:tcPr>
          <w:p w14:paraId="076A09AF" w14:textId="77777777" w:rsidR="00756B19" w:rsidRPr="00566B6A" w:rsidRDefault="00F247EE">
            <w:pPr>
              <w:rPr>
                <w:rFonts w:ascii="Courier New" w:hAnsi="Courier New" w:cs="Courier New"/>
                <w:sz w:val="22"/>
              </w:rPr>
            </w:pPr>
            <w:r w:rsidRPr="00566B6A">
              <w:rPr>
                <w:rFonts w:ascii="Courier New" w:hAnsi="Courier New" w:cs="Courier New"/>
                <w:sz w:val="22"/>
              </w:rPr>
              <w:t>Free reasonable reinvestigation; revised report; prompt deletion or modification of inaccurate, incomplete, or unverifiable information; reinsertion safeguards</w:t>
            </w:r>
          </w:p>
        </w:tc>
        <w:tc>
          <w:tcPr>
            <w:tcW w:w="3888" w:type="dxa"/>
          </w:tcPr>
          <w:p w14:paraId="0A023114" w14:textId="77777777" w:rsidR="00756B19" w:rsidRPr="00566B6A" w:rsidRDefault="00F247EE">
            <w:pPr>
              <w:rPr>
                <w:rFonts w:ascii="Courier New" w:hAnsi="Courier New" w:cs="Courier New"/>
                <w:sz w:val="22"/>
              </w:rPr>
            </w:pPr>
            <w:r w:rsidRPr="00566B6A">
              <w:rPr>
                <w:rFonts w:ascii="Courier New" w:hAnsi="Courier New" w:cs="Courier New"/>
                <w:sz w:val="22"/>
              </w:rPr>
              <w:t>Credit-report page; proof of identity/current address; employer records; source request; dispute confirmation; revised report</w:t>
            </w:r>
          </w:p>
        </w:tc>
      </w:tr>
      <w:tr w:rsidR="00756B19" w:rsidRPr="00566B6A" w14:paraId="01D15742" w14:textId="77777777">
        <w:trPr>
          <w:jc w:val="center"/>
        </w:trPr>
        <w:tc>
          <w:tcPr>
            <w:tcW w:w="1440" w:type="dxa"/>
          </w:tcPr>
          <w:p w14:paraId="4FA11180" w14:textId="77777777" w:rsidR="00756B19" w:rsidRPr="00566B6A" w:rsidRDefault="00F247EE">
            <w:pPr>
              <w:rPr>
                <w:rFonts w:ascii="Courier New" w:hAnsi="Courier New" w:cs="Courier New"/>
                <w:sz w:val="22"/>
              </w:rPr>
            </w:pPr>
            <w:r w:rsidRPr="00566B6A">
              <w:rPr>
                <w:rFonts w:ascii="Courier New" w:hAnsi="Courier New" w:cs="Courier New"/>
                <w:sz w:val="22"/>
              </w:rPr>
              <w:t>Federal Statute</w:t>
            </w:r>
          </w:p>
        </w:tc>
        <w:tc>
          <w:tcPr>
            <w:tcW w:w="2448" w:type="dxa"/>
          </w:tcPr>
          <w:p w14:paraId="71294B37" w14:textId="77777777" w:rsidR="00756B19" w:rsidRPr="00566B6A" w:rsidRDefault="00F247EE">
            <w:pPr>
              <w:rPr>
                <w:rFonts w:ascii="Courier New" w:hAnsi="Courier New" w:cs="Courier New"/>
                <w:sz w:val="22"/>
              </w:rPr>
            </w:pPr>
            <w:r w:rsidRPr="00566B6A">
              <w:rPr>
                <w:rFonts w:ascii="Courier New" w:hAnsi="Courier New" w:cs="Courier New"/>
                <w:sz w:val="22"/>
              </w:rPr>
              <w:t>15 U.S.C. §§ 1681s-2(b), 1681c-2</w:t>
            </w:r>
          </w:p>
        </w:tc>
        <w:tc>
          <w:tcPr>
            <w:tcW w:w="3168" w:type="dxa"/>
          </w:tcPr>
          <w:p w14:paraId="58377683" w14:textId="77777777" w:rsidR="00756B19" w:rsidRPr="00566B6A" w:rsidRDefault="00F247EE">
            <w:pPr>
              <w:rPr>
                <w:rFonts w:ascii="Courier New" w:hAnsi="Courier New" w:cs="Courier New"/>
                <w:sz w:val="22"/>
              </w:rPr>
            </w:pPr>
            <w:r w:rsidRPr="00566B6A">
              <w:rPr>
                <w:rFonts w:ascii="Courier New" w:hAnsi="Courier New" w:cs="Courier New"/>
                <w:sz w:val="22"/>
              </w:rPr>
              <w:t>Furnisher duties after CRA dispute notice; blocking of identity-theft information</w:t>
            </w:r>
          </w:p>
        </w:tc>
        <w:tc>
          <w:tcPr>
            <w:tcW w:w="3456" w:type="dxa"/>
          </w:tcPr>
          <w:p w14:paraId="62CA7167" w14:textId="77777777" w:rsidR="00756B19" w:rsidRPr="00566B6A" w:rsidRDefault="00F247EE">
            <w:pPr>
              <w:rPr>
                <w:rFonts w:ascii="Courier New" w:hAnsi="Courier New" w:cs="Courier New"/>
                <w:sz w:val="22"/>
              </w:rPr>
            </w:pPr>
            <w:r w:rsidRPr="00566B6A">
              <w:rPr>
                <w:rFonts w:ascii="Courier New" w:hAnsi="Courier New" w:cs="Courier New"/>
                <w:sz w:val="22"/>
              </w:rPr>
              <w:t>Investigation and modification, deletion, or permanent block where applicable; identity-theft block after required documentation</w:t>
            </w:r>
          </w:p>
        </w:tc>
        <w:tc>
          <w:tcPr>
            <w:tcW w:w="3888" w:type="dxa"/>
          </w:tcPr>
          <w:p w14:paraId="0B6D7941" w14:textId="77777777" w:rsidR="00756B19" w:rsidRPr="00566B6A" w:rsidRDefault="00F247EE">
            <w:pPr>
              <w:rPr>
                <w:rFonts w:ascii="Courier New" w:hAnsi="Courier New" w:cs="Courier New"/>
                <w:sz w:val="22"/>
              </w:rPr>
            </w:pPr>
            <w:r w:rsidRPr="00566B6A">
              <w:rPr>
                <w:rFonts w:ascii="Courier New" w:hAnsi="Courier New" w:cs="Courier New"/>
                <w:sz w:val="22"/>
              </w:rPr>
              <w:t>CRA dispute ID; identity-theft report; proof of identity; exact disputed identifiers; furnisher and bureau responses</w:t>
            </w:r>
          </w:p>
        </w:tc>
      </w:tr>
      <w:tr w:rsidR="00756B19" w:rsidRPr="00566B6A" w14:paraId="1CA34029" w14:textId="77777777">
        <w:trPr>
          <w:jc w:val="center"/>
        </w:trPr>
        <w:tc>
          <w:tcPr>
            <w:tcW w:w="1440" w:type="dxa"/>
          </w:tcPr>
          <w:p w14:paraId="570D2BA2" w14:textId="77777777" w:rsidR="00756B19" w:rsidRPr="00566B6A" w:rsidRDefault="00F247EE">
            <w:pPr>
              <w:rPr>
                <w:rFonts w:ascii="Courier New" w:hAnsi="Courier New" w:cs="Courier New"/>
                <w:sz w:val="22"/>
              </w:rPr>
            </w:pPr>
            <w:r w:rsidRPr="00566B6A">
              <w:rPr>
                <w:rFonts w:ascii="Courier New" w:hAnsi="Courier New" w:cs="Courier New"/>
                <w:sz w:val="22"/>
              </w:rPr>
              <w:t>Federal Regulation</w:t>
            </w:r>
          </w:p>
        </w:tc>
        <w:tc>
          <w:tcPr>
            <w:tcW w:w="2448" w:type="dxa"/>
          </w:tcPr>
          <w:p w14:paraId="2F4FC996" w14:textId="77777777" w:rsidR="00756B19" w:rsidRPr="00566B6A" w:rsidRDefault="00F247EE">
            <w:pPr>
              <w:rPr>
                <w:rFonts w:ascii="Courier New" w:hAnsi="Courier New" w:cs="Courier New"/>
                <w:sz w:val="22"/>
              </w:rPr>
            </w:pPr>
            <w:r w:rsidRPr="00566B6A">
              <w:rPr>
                <w:rFonts w:ascii="Courier New" w:hAnsi="Courier New" w:cs="Courier New"/>
                <w:sz w:val="22"/>
              </w:rPr>
              <w:t>12 C.F.R. § 1022.43(b)(1)(i)–(ii)</w:t>
            </w:r>
          </w:p>
        </w:tc>
        <w:tc>
          <w:tcPr>
            <w:tcW w:w="3168" w:type="dxa"/>
          </w:tcPr>
          <w:p w14:paraId="22F540E8" w14:textId="77777777" w:rsidR="00756B19" w:rsidRPr="00566B6A" w:rsidRDefault="00F247EE">
            <w:pPr>
              <w:rPr>
                <w:rFonts w:ascii="Courier New" w:hAnsi="Courier New" w:cs="Courier New"/>
                <w:sz w:val="22"/>
              </w:rPr>
            </w:pPr>
            <w:r w:rsidRPr="00566B6A">
              <w:rPr>
                <w:rFonts w:ascii="Courier New" w:hAnsi="Courier New" w:cs="Courier New"/>
                <w:sz w:val="22"/>
              </w:rPr>
              <w:t>Direct-furnisher dispute exception for identifying information, addresses, telephone numbers, and past or present employers</w:t>
            </w:r>
          </w:p>
        </w:tc>
        <w:tc>
          <w:tcPr>
            <w:tcW w:w="3456" w:type="dxa"/>
          </w:tcPr>
          <w:p w14:paraId="35C7CDB6" w14:textId="77777777" w:rsidR="00756B19" w:rsidRPr="00566B6A" w:rsidRDefault="00F247EE">
            <w:pPr>
              <w:rPr>
                <w:rFonts w:ascii="Courier New" w:hAnsi="Courier New" w:cs="Courier New"/>
                <w:sz w:val="22"/>
              </w:rPr>
            </w:pPr>
            <w:r w:rsidRPr="00566B6A">
              <w:rPr>
                <w:rFonts w:ascii="Courier New" w:hAnsi="Courier New" w:cs="Courier New"/>
                <w:sz w:val="22"/>
              </w:rPr>
              <w:t>Routes the primary identifying-information dispute to the consumer reporting agency; CRA-to-furnisher duties may apply after agency notice</w:t>
            </w:r>
          </w:p>
        </w:tc>
        <w:tc>
          <w:tcPr>
            <w:tcW w:w="3888" w:type="dxa"/>
          </w:tcPr>
          <w:p w14:paraId="4D2B9941" w14:textId="77777777" w:rsidR="00756B19" w:rsidRPr="00566B6A" w:rsidRDefault="00F247EE">
            <w:pPr>
              <w:rPr>
                <w:rFonts w:ascii="Courier New" w:hAnsi="Courier New" w:cs="Courier New"/>
                <w:sz w:val="22"/>
              </w:rPr>
            </w:pPr>
            <w:r w:rsidRPr="00566B6A">
              <w:rPr>
                <w:rFonts w:ascii="Courier New" w:hAnsi="Courier New" w:cs="Courier New"/>
                <w:sz w:val="22"/>
              </w:rPr>
              <w:t>Avoid misrouting; preserve bureau submission, supporting documents, transmission record, and investigation results</w:t>
            </w:r>
          </w:p>
        </w:tc>
      </w:tr>
    </w:tbl>
    <w:p w14:paraId="02A6E133"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B — STATE CASE LAW LIBRARY (REQUIRED)</w:t>
      </w:r>
    </w:p>
    <w:p w14:paraId="571A1F31"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w:t>
      </w:r>
      <w:r w:rsidRPr="00566B6A">
        <w:rPr>
          <w:rFonts w:ascii="Courier New" w:hAnsi="Courier New" w:cs="Courier New"/>
          <w:sz w:val="22"/>
        </w:rPr>
        <w:t xml:space="preserve"> California (CA)</w:t>
      </w:r>
    </w:p>
    <w:p w14:paraId="202B8774" w14:textId="77777777" w:rsidR="00756B19" w:rsidRPr="00566B6A" w:rsidRDefault="00F247EE">
      <w:pPr>
        <w:spacing w:after="60"/>
        <w:rPr>
          <w:rFonts w:ascii="Courier New" w:hAnsi="Courier New" w:cs="Courier New"/>
          <w:sz w:val="22"/>
        </w:rPr>
      </w:pPr>
      <w:r w:rsidRPr="00566B6A">
        <w:rPr>
          <w:rFonts w:ascii="Courier New" w:hAnsi="Courier New" w:cs="Courier New"/>
          <w:i/>
          <w:sz w:val="22"/>
        </w:rPr>
        <w:t>Educational module — no liability conclusions. No invented citations. The debt-collection decision below is a published California Court of Appeal decision applying the Rosenthal Act in a mistaken-identity collection matter; it should not be read as establishing liability without proof of the statutory elements and resulting injury.</w:t>
      </w:r>
    </w:p>
    <w:p w14:paraId="40F81FCB"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Topic: UDAP / Consumer Deception</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23AF2E37" w14:textId="77777777">
        <w:trPr>
          <w:cantSplit/>
          <w:tblHeader/>
          <w:jc w:val="center"/>
        </w:trPr>
        <w:tc>
          <w:tcPr>
            <w:tcW w:w="2232" w:type="dxa"/>
            <w:shd w:val="clear" w:color="auto" w:fill="D9EAF7"/>
            <w:tcMar>
              <w:top w:w="55" w:type="dxa"/>
              <w:left w:w="55" w:type="dxa"/>
              <w:bottom w:w="55" w:type="dxa"/>
              <w:right w:w="55" w:type="dxa"/>
            </w:tcMar>
            <w:vAlign w:val="center"/>
          </w:tcPr>
          <w:p w14:paraId="09E8807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3796422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1A73DC7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69DD40A1"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68054F4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2EC055FA"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405154CF" w14:textId="77777777">
        <w:trPr>
          <w:cantSplit/>
          <w:jc w:val="center"/>
        </w:trPr>
        <w:tc>
          <w:tcPr>
            <w:tcW w:w="2232" w:type="dxa"/>
            <w:tcMar>
              <w:top w:w="50" w:type="dxa"/>
              <w:left w:w="55" w:type="dxa"/>
              <w:bottom w:w="50" w:type="dxa"/>
              <w:right w:w="55" w:type="dxa"/>
            </w:tcMar>
          </w:tcPr>
          <w:p w14:paraId="128CB80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Kwikset Corp. v. Superior Court</w:t>
            </w:r>
          </w:p>
        </w:tc>
        <w:tc>
          <w:tcPr>
            <w:tcW w:w="1152" w:type="dxa"/>
            <w:tcMar>
              <w:top w:w="50" w:type="dxa"/>
              <w:left w:w="55" w:type="dxa"/>
              <w:bottom w:w="50" w:type="dxa"/>
              <w:right w:w="55" w:type="dxa"/>
            </w:tcMar>
          </w:tcPr>
          <w:p w14:paraId="3B7C48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Cal. Sup. Ct.</w:t>
            </w:r>
          </w:p>
        </w:tc>
        <w:tc>
          <w:tcPr>
            <w:tcW w:w="748" w:type="dxa"/>
            <w:tcMar>
              <w:top w:w="50" w:type="dxa"/>
              <w:left w:w="55" w:type="dxa"/>
              <w:bottom w:w="50" w:type="dxa"/>
              <w:right w:w="55" w:type="dxa"/>
            </w:tcMar>
          </w:tcPr>
          <w:p w14:paraId="29F9D29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2011</w:t>
            </w:r>
          </w:p>
        </w:tc>
        <w:tc>
          <w:tcPr>
            <w:tcW w:w="2088" w:type="dxa"/>
            <w:tcMar>
              <w:top w:w="50" w:type="dxa"/>
              <w:left w:w="55" w:type="dxa"/>
              <w:bottom w:w="50" w:type="dxa"/>
              <w:right w:w="55" w:type="dxa"/>
            </w:tcMar>
          </w:tcPr>
          <w:p w14:paraId="701025B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51 Cal. 4th 310, 246 P.3d 877</w:t>
            </w:r>
          </w:p>
        </w:tc>
        <w:tc>
          <w:tcPr>
            <w:tcW w:w="4536" w:type="dxa"/>
            <w:tcMar>
              <w:top w:w="50" w:type="dxa"/>
              <w:left w:w="55" w:type="dxa"/>
              <w:bottom w:w="50" w:type="dxa"/>
              <w:right w:w="55" w:type="dxa"/>
            </w:tcMar>
          </w:tcPr>
          <w:p w14:paraId="368304C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 private UCL plaintiff must show economic injury caused by the challenged practice. Buying a product in reliance on a false label may establish lost money or property.</w:t>
            </w:r>
          </w:p>
        </w:tc>
        <w:tc>
          <w:tcPr>
            <w:tcW w:w="3643" w:type="dxa"/>
            <w:tcMar>
              <w:top w:w="50" w:type="dxa"/>
              <w:left w:w="55" w:type="dxa"/>
              <w:bottom w:w="50" w:type="dxa"/>
              <w:right w:w="55" w:type="dxa"/>
            </w:tcMar>
          </w:tcPr>
          <w:p w14:paraId="5B5AAAA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Document the representation, purchase, reliance, price paid, economic loss, and causal link.</w:t>
            </w:r>
          </w:p>
        </w:tc>
      </w:tr>
      <w:tr w:rsidR="00756B19" w:rsidRPr="00566B6A" w14:paraId="564926D0" w14:textId="77777777">
        <w:trPr>
          <w:cantSplit/>
          <w:jc w:val="center"/>
        </w:trPr>
        <w:tc>
          <w:tcPr>
            <w:tcW w:w="2232" w:type="dxa"/>
            <w:shd w:val="clear" w:color="auto" w:fill="F7FAFC"/>
            <w:tcMar>
              <w:top w:w="50" w:type="dxa"/>
              <w:left w:w="55" w:type="dxa"/>
              <w:bottom w:w="50" w:type="dxa"/>
              <w:right w:w="55" w:type="dxa"/>
            </w:tcMar>
          </w:tcPr>
          <w:p w14:paraId="0B2F4D0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In re Tobacco II Cases</w:t>
            </w:r>
          </w:p>
        </w:tc>
        <w:tc>
          <w:tcPr>
            <w:tcW w:w="1152" w:type="dxa"/>
            <w:shd w:val="clear" w:color="auto" w:fill="F7FAFC"/>
            <w:tcMar>
              <w:top w:w="50" w:type="dxa"/>
              <w:left w:w="55" w:type="dxa"/>
              <w:bottom w:w="50" w:type="dxa"/>
              <w:right w:w="55" w:type="dxa"/>
            </w:tcMar>
          </w:tcPr>
          <w:p w14:paraId="30AA2E5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Cal. Sup. Ct.</w:t>
            </w:r>
          </w:p>
        </w:tc>
        <w:tc>
          <w:tcPr>
            <w:tcW w:w="748" w:type="dxa"/>
            <w:shd w:val="clear" w:color="auto" w:fill="F7FAFC"/>
            <w:tcMar>
              <w:top w:w="50" w:type="dxa"/>
              <w:left w:w="55" w:type="dxa"/>
              <w:bottom w:w="50" w:type="dxa"/>
              <w:right w:w="55" w:type="dxa"/>
            </w:tcMar>
          </w:tcPr>
          <w:p w14:paraId="0BC015E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2009</w:t>
            </w:r>
          </w:p>
        </w:tc>
        <w:tc>
          <w:tcPr>
            <w:tcW w:w="2088" w:type="dxa"/>
            <w:shd w:val="clear" w:color="auto" w:fill="F7FAFC"/>
            <w:tcMar>
              <w:top w:w="50" w:type="dxa"/>
              <w:left w:w="55" w:type="dxa"/>
              <w:bottom w:w="50" w:type="dxa"/>
              <w:right w:w="55" w:type="dxa"/>
            </w:tcMar>
          </w:tcPr>
          <w:p w14:paraId="6313DF2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46 Cal. 4th 298, 207 P.3d 20</w:t>
            </w:r>
          </w:p>
        </w:tc>
        <w:tc>
          <w:tcPr>
            <w:tcW w:w="4536" w:type="dxa"/>
            <w:shd w:val="clear" w:color="auto" w:fill="F7FAFC"/>
            <w:tcMar>
              <w:top w:w="50" w:type="dxa"/>
              <w:left w:w="55" w:type="dxa"/>
              <w:bottom w:w="50" w:type="dxa"/>
              <w:right w:w="55" w:type="dxa"/>
            </w:tcMar>
          </w:tcPr>
          <w:p w14:paraId="0C65D96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The named plaintiff in a fraud-based UCL class action must show actual reliance and injury; absent class members need not each prove named-plaintiff standing at certification.</w:t>
            </w:r>
          </w:p>
        </w:tc>
        <w:tc>
          <w:tcPr>
            <w:tcW w:w="3643" w:type="dxa"/>
            <w:shd w:val="clear" w:color="auto" w:fill="F7FAFC"/>
            <w:tcMar>
              <w:top w:w="50" w:type="dxa"/>
              <w:left w:w="55" w:type="dxa"/>
              <w:bottom w:w="50" w:type="dxa"/>
              <w:right w:w="55" w:type="dxa"/>
            </w:tcMar>
          </w:tcPr>
          <w:p w14:paraId="3A5126C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named claimant’s reliance chronology and classwide advertising, exposure, purchase, and injury evidence.</w:t>
            </w:r>
          </w:p>
        </w:tc>
      </w:tr>
    </w:tbl>
    <w:p w14:paraId="4F62CBD5" w14:textId="77777777" w:rsidR="00756B19" w:rsidRPr="00566B6A" w:rsidRDefault="00756B19">
      <w:pPr>
        <w:spacing w:after="20"/>
        <w:rPr>
          <w:rFonts w:ascii="Courier New" w:hAnsi="Courier New" w:cs="Courier New"/>
          <w:sz w:val="22"/>
        </w:rPr>
      </w:pPr>
    </w:p>
    <w:p w14:paraId="1C32952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Topic: Debt Collection</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18B8F6A0" w14:textId="77777777">
        <w:trPr>
          <w:cantSplit/>
          <w:tblHeader/>
          <w:jc w:val="center"/>
        </w:trPr>
        <w:tc>
          <w:tcPr>
            <w:tcW w:w="2232" w:type="dxa"/>
            <w:shd w:val="clear" w:color="auto" w:fill="D9EAF7"/>
            <w:tcMar>
              <w:top w:w="55" w:type="dxa"/>
              <w:left w:w="55" w:type="dxa"/>
              <w:bottom w:w="55" w:type="dxa"/>
              <w:right w:w="55" w:type="dxa"/>
            </w:tcMar>
            <w:vAlign w:val="center"/>
          </w:tcPr>
          <w:p w14:paraId="5B90CCC9"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5D0D302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5DFC5E8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35C2E9C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11908DB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7199149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05F12712" w14:textId="77777777">
        <w:trPr>
          <w:cantSplit/>
          <w:jc w:val="center"/>
        </w:trPr>
        <w:tc>
          <w:tcPr>
            <w:tcW w:w="2232" w:type="dxa"/>
            <w:tcMar>
              <w:top w:w="50" w:type="dxa"/>
              <w:left w:w="55" w:type="dxa"/>
              <w:bottom w:w="50" w:type="dxa"/>
              <w:right w:w="55" w:type="dxa"/>
            </w:tcMar>
          </w:tcPr>
          <w:p w14:paraId="0ADA0A1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Komarova v. National Credit Acceptance, Inc.</w:t>
            </w:r>
          </w:p>
        </w:tc>
        <w:tc>
          <w:tcPr>
            <w:tcW w:w="1152" w:type="dxa"/>
            <w:tcMar>
              <w:top w:w="50" w:type="dxa"/>
              <w:left w:w="55" w:type="dxa"/>
              <w:bottom w:w="50" w:type="dxa"/>
              <w:right w:w="55" w:type="dxa"/>
            </w:tcMar>
          </w:tcPr>
          <w:p w14:paraId="69C2673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Cal. Ct. App.</w:t>
            </w:r>
          </w:p>
        </w:tc>
        <w:tc>
          <w:tcPr>
            <w:tcW w:w="748" w:type="dxa"/>
            <w:tcMar>
              <w:top w:w="50" w:type="dxa"/>
              <w:left w:w="55" w:type="dxa"/>
              <w:bottom w:w="50" w:type="dxa"/>
              <w:right w:w="55" w:type="dxa"/>
            </w:tcMar>
          </w:tcPr>
          <w:p w14:paraId="61FE14F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2009</w:t>
            </w:r>
          </w:p>
        </w:tc>
        <w:tc>
          <w:tcPr>
            <w:tcW w:w="2088" w:type="dxa"/>
            <w:tcMar>
              <w:top w:w="50" w:type="dxa"/>
              <w:left w:w="55" w:type="dxa"/>
              <w:bottom w:w="50" w:type="dxa"/>
              <w:right w:w="55" w:type="dxa"/>
            </w:tcMar>
          </w:tcPr>
          <w:p w14:paraId="6B77818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175 Cal. App. 4th 324, 95 Cal. Rptr. 3d 880</w:t>
            </w:r>
          </w:p>
        </w:tc>
        <w:tc>
          <w:tcPr>
            <w:tcW w:w="4536" w:type="dxa"/>
            <w:tcMar>
              <w:top w:w="50" w:type="dxa"/>
              <w:left w:w="55" w:type="dxa"/>
              <w:bottom w:w="50" w:type="dxa"/>
              <w:right w:w="55" w:type="dxa"/>
            </w:tcMar>
          </w:tcPr>
          <w:p w14:paraId="62B1EA0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Applied the Rosenthal Act to mistaken-identity collection, rejected the litigation-privilege defense, and recognized continuing-violation analysis under the facts.</w:t>
            </w:r>
          </w:p>
        </w:tc>
        <w:tc>
          <w:tcPr>
            <w:tcW w:w="3643" w:type="dxa"/>
            <w:tcMar>
              <w:top w:w="50" w:type="dxa"/>
              <w:left w:w="55" w:type="dxa"/>
              <w:bottom w:w="50" w:type="dxa"/>
              <w:right w:w="55" w:type="dxa"/>
            </w:tcMar>
          </w:tcPr>
          <w:p w14:paraId="5E6C908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identity proof, calls, letters, employer contacts, service records, disputes, responses, dates, and resulting harm.</w:t>
            </w:r>
          </w:p>
        </w:tc>
      </w:tr>
    </w:tbl>
    <w:p w14:paraId="0F748E78" w14:textId="77777777" w:rsidR="00756B19" w:rsidRPr="00566B6A" w:rsidRDefault="00756B19">
      <w:pPr>
        <w:spacing w:after="20"/>
        <w:rPr>
          <w:rFonts w:ascii="Courier New" w:hAnsi="Courier New" w:cs="Courier New"/>
          <w:sz w:val="22"/>
        </w:rPr>
      </w:pPr>
    </w:p>
    <w:p w14:paraId="058A5C8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Case Law (Curated — Consolidated)</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2E0F2305" w14:textId="77777777">
        <w:trPr>
          <w:cantSplit/>
          <w:tblHeader/>
          <w:jc w:val="center"/>
        </w:trPr>
        <w:tc>
          <w:tcPr>
            <w:tcW w:w="2232" w:type="dxa"/>
            <w:shd w:val="clear" w:color="auto" w:fill="D9EAF7"/>
            <w:tcMar>
              <w:top w:w="55" w:type="dxa"/>
              <w:left w:w="55" w:type="dxa"/>
              <w:bottom w:w="55" w:type="dxa"/>
              <w:right w:w="55" w:type="dxa"/>
            </w:tcMar>
            <w:vAlign w:val="center"/>
          </w:tcPr>
          <w:p w14:paraId="280C4CBC"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7AE889C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45FAB46B"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3DE842F7"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125DCC4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3371C13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2A128B0D" w14:textId="77777777">
        <w:trPr>
          <w:cantSplit/>
          <w:jc w:val="center"/>
        </w:trPr>
        <w:tc>
          <w:tcPr>
            <w:tcW w:w="2232" w:type="dxa"/>
            <w:tcMar>
              <w:top w:w="50" w:type="dxa"/>
              <w:left w:w="55" w:type="dxa"/>
              <w:bottom w:w="50" w:type="dxa"/>
              <w:right w:w="55" w:type="dxa"/>
            </w:tcMar>
          </w:tcPr>
          <w:p w14:paraId="15BF32D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Kwikset Corp. v. Superior Court</w:t>
            </w:r>
          </w:p>
        </w:tc>
        <w:tc>
          <w:tcPr>
            <w:tcW w:w="1152" w:type="dxa"/>
            <w:tcMar>
              <w:top w:w="50" w:type="dxa"/>
              <w:left w:w="55" w:type="dxa"/>
              <w:bottom w:w="50" w:type="dxa"/>
              <w:right w:w="55" w:type="dxa"/>
            </w:tcMar>
          </w:tcPr>
          <w:p w14:paraId="630E022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Cal. Sup. Ct.</w:t>
            </w:r>
          </w:p>
        </w:tc>
        <w:tc>
          <w:tcPr>
            <w:tcW w:w="748" w:type="dxa"/>
            <w:tcMar>
              <w:top w:w="50" w:type="dxa"/>
              <w:left w:w="55" w:type="dxa"/>
              <w:bottom w:w="50" w:type="dxa"/>
              <w:right w:w="55" w:type="dxa"/>
            </w:tcMar>
          </w:tcPr>
          <w:p w14:paraId="2B76484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2011</w:t>
            </w:r>
          </w:p>
        </w:tc>
        <w:tc>
          <w:tcPr>
            <w:tcW w:w="2088" w:type="dxa"/>
            <w:tcMar>
              <w:top w:w="50" w:type="dxa"/>
              <w:left w:w="55" w:type="dxa"/>
              <w:bottom w:w="50" w:type="dxa"/>
              <w:right w:w="55" w:type="dxa"/>
            </w:tcMar>
          </w:tcPr>
          <w:p w14:paraId="73C05E2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51 Cal. 4th 310, 246 P.3d 877</w:t>
            </w:r>
          </w:p>
        </w:tc>
        <w:tc>
          <w:tcPr>
            <w:tcW w:w="4536" w:type="dxa"/>
            <w:tcMar>
              <w:top w:w="50" w:type="dxa"/>
              <w:left w:w="55" w:type="dxa"/>
              <w:bottom w:w="50" w:type="dxa"/>
              <w:right w:w="55" w:type="dxa"/>
            </w:tcMar>
          </w:tcPr>
          <w:p w14:paraId="35E9EAF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 private UCL plaintiff must show economic injury caused by the challenged practice. Buying a product in reliance on a false label may establish lost money or property.</w:t>
            </w:r>
          </w:p>
        </w:tc>
        <w:tc>
          <w:tcPr>
            <w:tcW w:w="3643" w:type="dxa"/>
            <w:tcMar>
              <w:top w:w="50" w:type="dxa"/>
              <w:left w:w="55" w:type="dxa"/>
              <w:bottom w:w="50" w:type="dxa"/>
              <w:right w:w="55" w:type="dxa"/>
            </w:tcMar>
          </w:tcPr>
          <w:p w14:paraId="69E8FBD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Document the representation, purchase, reliance, price paid, economic loss, and causal link.</w:t>
            </w:r>
          </w:p>
        </w:tc>
      </w:tr>
      <w:tr w:rsidR="00756B19" w:rsidRPr="00566B6A" w14:paraId="26093C36" w14:textId="77777777">
        <w:trPr>
          <w:cantSplit/>
          <w:jc w:val="center"/>
        </w:trPr>
        <w:tc>
          <w:tcPr>
            <w:tcW w:w="2232" w:type="dxa"/>
            <w:shd w:val="clear" w:color="auto" w:fill="F7FAFC"/>
            <w:tcMar>
              <w:top w:w="50" w:type="dxa"/>
              <w:left w:w="55" w:type="dxa"/>
              <w:bottom w:w="50" w:type="dxa"/>
              <w:right w:w="55" w:type="dxa"/>
            </w:tcMar>
          </w:tcPr>
          <w:p w14:paraId="246D35A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In re Tobacco II Cases</w:t>
            </w:r>
          </w:p>
        </w:tc>
        <w:tc>
          <w:tcPr>
            <w:tcW w:w="1152" w:type="dxa"/>
            <w:shd w:val="clear" w:color="auto" w:fill="F7FAFC"/>
            <w:tcMar>
              <w:top w:w="50" w:type="dxa"/>
              <w:left w:w="55" w:type="dxa"/>
              <w:bottom w:w="50" w:type="dxa"/>
              <w:right w:w="55" w:type="dxa"/>
            </w:tcMar>
          </w:tcPr>
          <w:p w14:paraId="0CB14AC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Cal. Sup. Ct.</w:t>
            </w:r>
          </w:p>
        </w:tc>
        <w:tc>
          <w:tcPr>
            <w:tcW w:w="748" w:type="dxa"/>
            <w:shd w:val="clear" w:color="auto" w:fill="F7FAFC"/>
            <w:tcMar>
              <w:top w:w="50" w:type="dxa"/>
              <w:left w:w="55" w:type="dxa"/>
              <w:bottom w:w="50" w:type="dxa"/>
              <w:right w:w="55" w:type="dxa"/>
            </w:tcMar>
          </w:tcPr>
          <w:p w14:paraId="088D68D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2009</w:t>
            </w:r>
          </w:p>
        </w:tc>
        <w:tc>
          <w:tcPr>
            <w:tcW w:w="2088" w:type="dxa"/>
            <w:shd w:val="clear" w:color="auto" w:fill="F7FAFC"/>
            <w:tcMar>
              <w:top w:w="50" w:type="dxa"/>
              <w:left w:w="55" w:type="dxa"/>
              <w:bottom w:w="50" w:type="dxa"/>
              <w:right w:w="55" w:type="dxa"/>
            </w:tcMar>
          </w:tcPr>
          <w:p w14:paraId="33FCBA3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46 Cal. 4th 298, 207 P.3d 20</w:t>
            </w:r>
          </w:p>
        </w:tc>
        <w:tc>
          <w:tcPr>
            <w:tcW w:w="4536" w:type="dxa"/>
            <w:shd w:val="clear" w:color="auto" w:fill="F7FAFC"/>
            <w:tcMar>
              <w:top w:w="50" w:type="dxa"/>
              <w:left w:w="55" w:type="dxa"/>
              <w:bottom w:w="50" w:type="dxa"/>
              <w:right w:w="55" w:type="dxa"/>
            </w:tcMar>
          </w:tcPr>
          <w:p w14:paraId="0180478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The named plaintiff in a fraud-based UCL class action must show actual reliance and injury; absent class members need not each prove named-plaintiff standing at certification.</w:t>
            </w:r>
          </w:p>
        </w:tc>
        <w:tc>
          <w:tcPr>
            <w:tcW w:w="3643" w:type="dxa"/>
            <w:shd w:val="clear" w:color="auto" w:fill="F7FAFC"/>
            <w:tcMar>
              <w:top w:w="50" w:type="dxa"/>
              <w:left w:w="55" w:type="dxa"/>
              <w:bottom w:w="50" w:type="dxa"/>
              <w:right w:w="55" w:type="dxa"/>
            </w:tcMar>
          </w:tcPr>
          <w:p w14:paraId="314458A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named claimant’s reliance chronology and classwide advertising, exposure, purchase, and injury evidence.</w:t>
            </w:r>
          </w:p>
        </w:tc>
      </w:tr>
      <w:tr w:rsidR="00756B19" w:rsidRPr="00566B6A" w14:paraId="4415A3DF" w14:textId="77777777">
        <w:trPr>
          <w:cantSplit/>
          <w:jc w:val="center"/>
        </w:trPr>
        <w:tc>
          <w:tcPr>
            <w:tcW w:w="2232" w:type="dxa"/>
            <w:tcMar>
              <w:top w:w="50" w:type="dxa"/>
              <w:left w:w="55" w:type="dxa"/>
              <w:bottom w:w="50" w:type="dxa"/>
              <w:right w:w="55" w:type="dxa"/>
            </w:tcMar>
          </w:tcPr>
          <w:p w14:paraId="4B579E2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Komarova v. National Credit Acceptance, Inc.</w:t>
            </w:r>
          </w:p>
        </w:tc>
        <w:tc>
          <w:tcPr>
            <w:tcW w:w="1152" w:type="dxa"/>
            <w:tcMar>
              <w:top w:w="50" w:type="dxa"/>
              <w:left w:w="55" w:type="dxa"/>
              <w:bottom w:w="50" w:type="dxa"/>
              <w:right w:w="55" w:type="dxa"/>
            </w:tcMar>
          </w:tcPr>
          <w:p w14:paraId="7B5BE92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Cal. Ct. App.</w:t>
            </w:r>
          </w:p>
        </w:tc>
        <w:tc>
          <w:tcPr>
            <w:tcW w:w="748" w:type="dxa"/>
            <w:tcMar>
              <w:top w:w="50" w:type="dxa"/>
              <w:left w:w="55" w:type="dxa"/>
              <w:bottom w:w="50" w:type="dxa"/>
              <w:right w:w="55" w:type="dxa"/>
            </w:tcMar>
          </w:tcPr>
          <w:p w14:paraId="100CFD6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2009</w:t>
            </w:r>
          </w:p>
        </w:tc>
        <w:tc>
          <w:tcPr>
            <w:tcW w:w="2088" w:type="dxa"/>
            <w:tcMar>
              <w:top w:w="50" w:type="dxa"/>
              <w:left w:w="55" w:type="dxa"/>
              <w:bottom w:w="50" w:type="dxa"/>
              <w:right w:w="55" w:type="dxa"/>
            </w:tcMar>
          </w:tcPr>
          <w:p w14:paraId="5D62FA2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175 Cal. App. 4th 324, 95 Cal. Rptr. 3d 880</w:t>
            </w:r>
          </w:p>
        </w:tc>
        <w:tc>
          <w:tcPr>
            <w:tcW w:w="4536" w:type="dxa"/>
            <w:tcMar>
              <w:top w:w="50" w:type="dxa"/>
              <w:left w:w="55" w:type="dxa"/>
              <w:bottom w:w="50" w:type="dxa"/>
              <w:right w:w="55" w:type="dxa"/>
            </w:tcMar>
          </w:tcPr>
          <w:p w14:paraId="3924069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Applied the Rosenthal Act to mistaken-identity collection, rejected the litigation-privilege defense, and recognized continuing-violation analysis under the facts.</w:t>
            </w:r>
          </w:p>
        </w:tc>
        <w:tc>
          <w:tcPr>
            <w:tcW w:w="3643" w:type="dxa"/>
            <w:tcMar>
              <w:top w:w="50" w:type="dxa"/>
              <w:left w:w="55" w:type="dxa"/>
              <w:bottom w:w="50" w:type="dxa"/>
              <w:right w:w="55" w:type="dxa"/>
            </w:tcMar>
          </w:tcPr>
          <w:p w14:paraId="361E50F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identity proof, calls, letters, employer contacts, service records, disputes, responses, dates, and resulting harm.</w:t>
            </w:r>
          </w:p>
        </w:tc>
      </w:tr>
    </w:tbl>
    <w:p w14:paraId="0D3C7111" w14:textId="77777777" w:rsidR="00756B19" w:rsidRPr="00566B6A" w:rsidRDefault="00756B19">
      <w:pPr>
        <w:spacing w:after="20"/>
        <w:rPr>
          <w:rFonts w:ascii="Courier New" w:hAnsi="Courier New" w:cs="Courier New"/>
          <w:sz w:val="22"/>
        </w:rPr>
      </w:pPr>
    </w:p>
    <w:p w14:paraId="62CA3E7D"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C — FCRA PREEMPTION + STATE-LAW SAFE ZONES (WITH CITATIONS)</w:t>
      </w:r>
    </w:p>
    <w:p w14:paraId="03CC2CC9" w14:textId="77777777" w:rsidR="00756B19" w:rsidRPr="00566B6A" w:rsidRDefault="00F247EE">
      <w:pPr>
        <w:keepNext/>
        <w:spacing w:after="60"/>
        <w:rPr>
          <w:rFonts w:ascii="Courier New" w:hAnsi="Courier New" w:cs="Courier New"/>
          <w:sz w:val="22"/>
        </w:rPr>
      </w:pPr>
      <w:r w:rsidRPr="00566B6A">
        <w:rPr>
          <w:rFonts w:ascii="Courier New" w:hAnsi="Courier New" w:cs="Courier New"/>
          <w:b/>
          <w:sz w:val="22"/>
        </w:rPr>
        <w:t>Federal preemption provisions (educational):</w:t>
      </w:r>
    </w:p>
    <w:p w14:paraId="4ADED9A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15 U.S.C. § 1681t(b) — </w:t>
      </w:r>
      <w:r w:rsidRPr="00566B6A">
        <w:rPr>
          <w:rFonts w:ascii="Courier New" w:hAnsi="Courier New" w:cs="Courier New"/>
          <w:sz w:val="22"/>
        </w:rPr>
        <w:t>preemption of certain state laws concerning subject matter regulated by the FCRA.</w:t>
      </w:r>
    </w:p>
    <w:p w14:paraId="6250FC8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15 U.S.C. § 1681h(e) — </w:t>
      </w:r>
      <w:r w:rsidRPr="00566B6A">
        <w:rPr>
          <w:rFonts w:ascii="Courier New" w:hAnsi="Courier New" w:cs="Courier New"/>
          <w:sz w:val="22"/>
        </w:rPr>
        <w:t>limitations on certain state causes of action involving information disclosed under specified FCRA provisions.</w:t>
      </w:r>
    </w:p>
    <w:p w14:paraId="57F5134C" w14:textId="77777777" w:rsidR="00756B19" w:rsidRDefault="00F247EE">
      <w:pPr>
        <w:spacing w:after="60"/>
        <w:rPr>
          <w:rFonts w:ascii="Courier New" w:hAnsi="Courier New" w:cs="Courier New"/>
          <w:sz w:val="22"/>
        </w:rPr>
      </w:pPr>
      <w:r w:rsidRPr="00566B6A">
        <w:rPr>
          <w:rFonts w:ascii="Courier New" w:hAnsi="Courier New" w:cs="Courier New"/>
          <w:sz w:val="22"/>
        </w:rPr>
        <w:t>Educational summary: Federal law generally governs CRA and furnisher duties concerning accuracy, reinvestigation, dispute processing, and reporting. California CCRAA claims and UCL theories that duplicate or conflict with federal duties may be preemption-sensitive, although certain California provisions are specifically preserved by federal law.</w:t>
      </w:r>
    </w:p>
    <w:p w14:paraId="4E3D232F" w14:textId="77777777" w:rsidR="00964317" w:rsidRPr="00566B6A" w:rsidRDefault="00964317">
      <w:pPr>
        <w:spacing w:after="60"/>
        <w:rPr>
          <w:rFonts w:ascii="Courier New" w:hAnsi="Courier New" w:cs="Courier New"/>
          <w:sz w:val="22"/>
        </w:rPr>
      </w:pPr>
    </w:p>
    <w:p w14:paraId="6FF22A4A"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Preemption Risk Map</w:t>
      </w:r>
    </w:p>
    <w:tbl>
      <w:tblPr>
        <w:tblStyle w:val="TableGrid"/>
        <w:tblW w:w="0" w:type="auto"/>
        <w:jc w:val="center"/>
        <w:tblLayout w:type="fixed"/>
        <w:tblLook w:val="04A0" w:firstRow="1" w:lastRow="0" w:firstColumn="1" w:lastColumn="0" w:noHBand="0" w:noVBand="1"/>
      </w:tblPr>
      <w:tblGrid>
        <w:gridCol w:w="2232"/>
        <w:gridCol w:w="3096"/>
        <w:gridCol w:w="1080"/>
        <w:gridCol w:w="1224"/>
        <w:gridCol w:w="6768"/>
      </w:tblGrid>
      <w:tr w:rsidR="00756B19" w:rsidRPr="00566B6A" w14:paraId="6C279385" w14:textId="77777777">
        <w:trPr>
          <w:cantSplit/>
          <w:tblHeader/>
          <w:jc w:val="center"/>
        </w:trPr>
        <w:tc>
          <w:tcPr>
            <w:tcW w:w="2232" w:type="dxa"/>
            <w:shd w:val="clear" w:color="auto" w:fill="D9EAF7"/>
            <w:tcMar>
              <w:top w:w="55" w:type="dxa"/>
              <w:left w:w="55" w:type="dxa"/>
              <w:bottom w:w="55" w:type="dxa"/>
              <w:right w:w="55" w:type="dxa"/>
            </w:tcMar>
            <w:vAlign w:val="center"/>
          </w:tcPr>
          <w:p w14:paraId="384D575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Claim / Topic</w:t>
            </w:r>
          </w:p>
        </w:tc>
        <w:tc>
          <w:tcPr>
            <w:tcW w:w="3096" w:type="dxa"/>
            <w:shd w:val="clear" w:color="auto" w:fill="D9EAF7"/>
            <w:tcMar>
              <w:top w:w="55" w:type="dxa"/>
              <w:left w:w="55" w:type="dxa"/>
              <w:bottom w:w="55" w:type="dxa"/>
              <w:right w:w="55" w:type="dxa"/>
            </w:tcMar>
            <w:vAlign w:val="center"/>
          </w:tcPr>
          <w:p w14:paraId="0A1D55A4"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California Authority</w:t>
            </w:r>
          </w:p>
        </w:tc>
        <w:tc>
          <w:tcPr>
            <w:tcW w:w="1080" w:type="dxa"/>
            <w:shd w:val="clear" w:color="auto" w:fill="D9EAF7"/>
            <w:tcMar>
              <w:top w:w="55" w:type="dxa"/>
              <w:left w:w="55" w:type="dxa"/>
              <w:bottom w:w="55" w:type="dxa"/>
              <w:right w:w="55" w:type="dxa"/>
            </w:tcMar>
            <w:vAlign w:val="center"/>
          </w:tcPr>
          <w:p w14:paraId="226B39AA"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FCRA Overlap</w:t>
            </w:r>
          </w:p>
        </w:tc>
        <w:tc>
          <w:tcPr>
            <w:tcW w:w="1224" w:type="dxa"/>
            <w:shd w:val="clear" w:color="auto" w:fill="D9EAF7"/>
            <w:tcMar>
              <w:top w:w="55" w:type="dxa"/>
              <w:left w:w="55" w:type="dxa"/>
              <w:bottom w:w="55" w:type="dxa"/>
              <w:right w:w="55" w:type="dxa"/>
            </w:tcMar>
            <w:vAlign w:val="center"/>
          </w:tcPr>
          <w:p w14:paraId="068FF45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Preemption Risk</w:t>
            </w:r>
          </w:p>
        </w:tc>
        <w:tc>
          <w:tcPr>
            <w:tcW w:w="6768" w:type="dxa"/>
            <w:shd w:val="clear" w:color="auto" w:fill="D9EAF7"/>
            <w:tcMar>
              <w:top w:w="55" w:type="dxa"/>
              <w:left w:w="55" w:type="dxa"/>
              <w:bottom w:w="55" w:type="dxa"/>
              <w:right w:w="55" w:type="dxa"/>
            </w:tcMar>
            <w:vAlign w:val="center"/>
          </w:tcPr>
          <w:p w14:paraId="5B9E8A2C"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Procedural Framing</w:t>
            </w:r>
          </w:p>
        </w:tc>
      </w:tr>
      <w:tr w:rsidR="00756B19" w:rsidRPr="00566B6A" w14:paraId="755995F8" w14:textId="77777777">
        <w:trPr>
          <w:cantSplit/>
          <w:jc w:val="center"/>
        </w:trPr>
        <w:tc>
          <w:tcPr>
            <w:tcW w:w="2232" w:type="dxa"/>
            <w:tcMar>
              <w:top w:w="50" w:type="dxa"/>
              <w:left w:w="55" w:type="dxa"/>
              <w:bottom w:w="50" w:type="dxa"/>
              <w:right w:w="55" w:type="dxa"/>
            </w:tcMar>
          </w:tcPr>
          <w:p w14:paraId="455357D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CRA accuracy / reinvestigation</w:t>
            </w:r>
          </w:p>
        </w:tc>
        <w:tc>
          <w:tcPr>
            <w:tcW w:w="3096" w:type="dxa"/>
            <w:tcMar>
              <w:top w:w="50" w:type="dxa"/>
              <w:left w:w="55" w:type="dxa"/>
              <w:bottom w:w="50" w:type="dxa"/>
              <w:right w:w="55" w:type="dxa"/>
            </w:tcMar>
          </w:tcPr>
          <w:p w14:paraId="295DBD2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CCRAA, Cal. Civ. Code §§ 1785.1–1785.36</w:t>
            </w:r>
          </w:p>
        </w:tc>
        <w:tc>
          <w:tcPr>
            <w:tcW w:w="1080" w:type="dxa"/>
            <w:tcMar>
              <w:top w:w="50" w:type="dxa"/>
              <w:left w:w="55" w:type="dxa"/>
              <w:bottom w:w="50" w:type="dxa"/>
              <w:right w:w="55" w:type="dxa"/>
            </w:tcMar>
          </w:tcPr>
          <w:p w14:paraId="0C2D75A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1224" w:type="dxa"/>
            <w:tcMar>
              <w:top w:w="50" w:type="dxa"/>
              <w:left w:w="55" w:type="dxa"/>
              <w:bottom w:w="50" w:type="dxa"/>
              <w:right w:w="55" w:type="dxa"/>
            </w:tcMar>
          </w:tcPr>
          <w:p w14:paraId="470759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6768" w:type="dxa"/>
            <w:tcMar>
              <w:top w:w="50" w:type="dxa"/>
              <w:left w:w="55" w:type="dxa"/>
              <w:bottom w:w="50" w:type="dxa"/>
              <w:right w:w="55" w:type="dxa"/>
            </w:tcMar>
          </w:tcPr>
          <w:p w14:paraId="7FF8581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Use the FCRA and CCRAA dispute records; identify the exact state provision and conduct and analyze express preemption before pleading.</w:t>
            </w:r>
          </w:p>
        </w:tc>
      </w:tr>
      <w:tr w:rsidR="00756B19" w:rsidRPr="00566B6A" w14:paraId="4F4323B2" w14:textId="77777777">
        <w:trPr>
          <w:cantSplit/>
          <w:jc w:val="center"/>
        </w:trPr>
        <w:tc>
          <w:tcPr>
            <w:tcW w:w="2232" w:type="dxa"/>
            <w:shd w:val="clear" w:color="auto" w:fill="F7FAFC"/>
            <w:tcMar>
              <w:top w:w="50" w:type="dxa"/>
              <w:left w:w="55" w:type="dxa"/>
              <w:bottom w:w="50" w:type="dxa"/>
              <w:right w:w="55" w:type="dxa"/>
            </w:tcMar>
          </w:tcPr>
          <w:p w14:paraId="08DB3CE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Furnisher reporting duties</w:t>
            </w:r>
          </w:p>
        </w:tc>
        <w:tc>
          <w:tcPr>
            <w:tcW w:w="3096" w:type="dxa"/>
            <w:shd w:val="clear" w:color="auto" w:fill="F7FAFC"/>
            <w:tcMar>
              <w:top w:w="50" w:type="dxa"/>
              <w:left w:w="55" w:type="dxa"/>
              <w:bottom w:w="50" w:type="dxa"/>
              <w:right w:w="55" w:type="dxa"/>
            </w:tcMar>
          </w:tcPr>
          <w:p w14:paraId="5DBC8D2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Cal. Civ. Code § 1785.25; federal FCRA</w:t>
            </w:r>
          </w:p>
        </w:tc>
        <w:tc>
          <w:tcPr>
            <w:tcW w:w="1080" w:type="dxa"/>
            <w:shd w:val="clear" w:color="auto" w:fill="F7FAFC"/>
            <w:tcMar>
              <w:top w:w="50" w:type="dxa"/>
              <w:left w:w="55" w:type="dxa"/>
              <w:bottom w:w="50" w:type="dxa"/>
              <w:right w:w="55" w:type="dxa"/>
            </w:tcMar>
          </w:tcPr>
          <w:p w14:paraId="25813C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1224" w:type="dxa"/>
            <w:shd w:val="clear" w:color="auto" w:fill="F7FAFC"/>
            <w:tcMar>
              <w:top w:w="50" w:type="dxa"/>
              <w:left w:w="55" w:type="dxa"/>
              <w:bottom w:w="50" w:type="dxa"/>
              <w:right w:w="55" w:type="dxa"/>
            </w:tcMar>
          </w:tcPr>
          <w:p w14:paraId="69F7570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6768" w:type="dxa"/>
            <w:shd w:val="clear" w:color="auto" w:fill="F7FAFC"/>
            <w:tcMar>
              <w:top w:w="50" w:type="dxa"/>
              <w:left w:w="55" w:type="dxa"/>
              <w:bottom w:w="50" w:type="dxa"/>
              <w:right w:w="55" w:type="dxa"/>
            </w:tcMar>
          </w:tcPr>
          <w:p w14:paraId="50D3251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Use 15 U.S.C. § 1681s-2 and bureau-dispute notice evidence; separately analyze the California provision specifically preserved by federal law.</w:t>
            </w:r>
          </w:p>
        </w:tc>
      </w:tr>
      <w:tr w:rsidR="00756B19" w:rsidRPr="00566B6A" w14:paraId="7CEFD54B" w14:textId="77777777">
        <w:trPr>
          <w:cantSplit/>
          <w:jc w:val="center"/>
        </w:trPr>
        <w:tc>
          <w:tcPr>
            <w:tcW w:w="2232" w:type="dxa"/>
            <w:tcMar>
              <w:top w:w="50" w:type="dxa"/>
              <w:left w:w="55" w:type="dxa"/>
              <w:bottom w:w="50" w:type="dxa"/>
              <w:right w:w="55" w:type="dxa"/>
            </w:tcMar>
          </w:tcPr>
          <w:p w14:paraId="5DBD47E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Identity-theft blocking</w:t>
            </w:r>
          </w:p>
        </w:tc>
        <w:tc>
          <w:tcPr>
            <w:tcW w:w="3096" w:type="dxa"/>
            <w:tcMar>
              <w:top w:w="50" w:type="dxa"/>
              <w:left w:w="55" w:type="dxa"/>
              <w:bottom w:w="50" w:type="dxa"/>
              <w:right w:w="55" w:type="dxa"/>
            </w:tcMar>
          </w:tcPr>
          <w:p w14:paraId="417CDD8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Cal. Penal Code § 530.5; Cal. Civ. Code § 1785.16(k)–(l)</w:t>
            </w:r>
          </w:p>
        </w:tc>
        <w:tc>
          <w:tcPr>
            <w:tcW w:w="1080" w:type="dxa"/>
            <w:tcMar>
              <w:top w:w="50" w:type="dxa"/>
              <w:left w:w="55" w:type="dxa"/>
              <w:bottom w:w="50" w:type="dxa"/>
              <w:right w:w="55" w:type="dxa"/>
            </w:tcMar>
          </w:tcPr>
          <w:p w14:paraId="6E4C92F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Medium</w:t>
            </w:r>
          </w:p>
        </w:tc>
        <w:tc>
          <w:tcPr>
            <w:tcW w:w="1224" w:type="dxa"/>
            <w:tcMar>
              <w:top w:w="50" w:type="dxa"/>
              <w:left w:w="55" w:type="dxa"/>
              <w:bottom w:w="50" w:type="dxa"/>
              <w:right w:w="55" w:type="dxa"/>
            </w:tcMar>
          </w:tcPr>
          <w:p w14:paraId="0AAEC34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Low–Med</w:t>
            </w:r>
          </w:p>
        </w:tc>
        <w:tc>
          <w:tcPr>
            <w:tcW w:w="6768" w:type="dxa"/>
            <w:tcMar>
              <w:top w:w="50" w:type="dxa"/>
              <w:left w:w="55" w:type="dxa"/>
              <w:bottom w:w="50" w:type="dxa"/>
              <w:right w:w="55" w:type="dxa"/>
            </w:tcMar>
          </w:tcPr>
          <w:p w14:paraId="6D875C6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Document police and FTC reports, exact fraudulent accounts, block submissions, CRA notices, reinvestigation results, and any unblocking decision.</w:t>
            </w:r>
          </w:p>
        </w:tc>
      </w:tr>
      <w:tr w:rsidR="00756B19" w:rsidRPr="00566B6A" w14:paraId="3C0A2B33" w14:textId="77777777">
        <w:trPr>
          <w:cantSplit/>
          <w:jc w:val="center"/>
        </w:trPr>
        <w:tc>
          <w:tcPr>
            <w:tcW w:w="2232" w:type="dxa"/>
            <w:shd w:val="clear" w:color="auto" w:fill="F7FAFC"/>
            <w:tcMar>
              <w:top w:w="50" w:type="dxa"/>
              <w:left w:w="55" w:type="dxa"/>
              <w:bottom w:w="50" w:type="dxa"/>
              <w:right w:w="55" w:type="dxa"/>
            </w:tcMar>
          </w:tcPr>
          <w:p w14:paraId="17D6995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Deceptive collection conduct</w:t>
            </w:r>
          </w:p>
        </w:tc>
        <w:tc>
          <w:tcPr>
            <w:tcW w:w="3096" w:type="dxa"/>
            <w:shd w:val="clear" w:color="auto" w:fill="F7FAFC"/>
            <w:tcMar>
              <w:top w:w="50" w:type="dxa"/>
              <w:left w:w="55" w:type="dxa"/>
              <w:bottom w:w="50" w:type="dxa"/>
              <w:right w:w="55" w:type="dxa"/>
            </w:tcMar>
          </w:tcPr>
          <w:p w14:paraId="1EC5FC5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Rosenthal Act, Cal. Civ. Code §§ 1788–1788.33</w:t>
            </w:r>
          </w:p>
        </w:tc>
        <w:tc>
          <w:tcPr>
            <w:tcW w:w="1080" w:type="dxa"/>
            <w:shd w:val="clear" w:color="auto" w:fill="F7FAFC"/>
            <w:tcMar>
              <w:top w:w="50" w:type="dxa"/>
              <w:left w:w="55" w:type="dxa"/>
              <w:bottom w:w="50" w:type="dxa"/>
              <w:right w:w="55" w:type="dxa"/>
            </w:tcMar>
          </w:tcPr>
          <w:p w14:paraId="2C6D9B7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shd w:val="clear" w:color="auto" w:fill="F7FAFC"/>
            <w:tcMar>
              <w:top w:w="50" w:type="dxa"/>
              <w:left w:w="55" w:type="dxa"/>
              <w:bottom w:w="50" w:type="dxa"/>
              <w:right w:w="55" w:type="dxa"/>
            </w:tcMar>
          </w:tcPr>
          <w:p w14:paraId="03F247F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shd w:val="clear" w:color="auto" w:fill="F7FAFC"/>
            <w:tcMar>
              <w:top w:w="50" w:type="dxa"/>
              <w:left w:w="55" w:type="dxa"/>
              <w:bottom w:w="50" w:type="dxa"/>
              <w:right w:w="55" w:type="dxa"/>
            </w:tcMar>
          </w:tcPr>
          <w:p w14:paraId="00BF0AB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DFPI, AG, or CFPB complaint; preserve communications, collector status, disputes, employer contacts, service records, and fee calculations.</w:t>
            </w:r>
          </w:p>
        </w:tc>
      </w:tr>
      <w:tr w:rsidR="00756B19" w:rsidRPr="00566B6A" w14:paraId="6C632A57" w14:textId="77777777">
        <w:trPr>
          <w:cantSplit/>
          <w:jc w:val="center"/>
        </w:trPr>
        <w:tc>
          <w:tcPr>
            <w:tcW w:w="2232" w:type="dxa"/>
            <w:tcMar>
              <w:top w:w="50" w:type="dxa"/>
              <w:left w:w="55" w:type="dxa"/>
              <w:bottom w:w="50" w:type="dxa"/>
              <w:right w:w="55" w:type="dxa"/>
            </w:tcMar>
          </w:tcPr>
          <w:p w14:paraId="6D2829E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Security-freeze violations</w:t>
            </w:r>
          </w:p>
        </w:tc>
        <w:tc>
          <w:tcPr>
            <w:tcW w:w="3096" w:type="dxa"/>
            <w:tcMar>
              <w:top w:w="50" w:type="dxa"/>
              <w:left w:w="55" w:type="dxa"/>
              <w:bottom w:w="50" w:type="dxa"/>
              <w:right w:w="55" w:type="dxa"/>
            </w:tcMar>
          </w:tcPr>
          <w:p w14:paraId="38DB86B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Cal. Civ. Code §§ 1785.11.1–1785.11.3, 1785.11.11</w:t>
            </w:r>
          </w:p>
        </w:tc>
        <w:tc>
          <w:tcPr>
            <w:tcW w:w="1080" w:type="dxa"/>
            <w:tcMar>
              <w:top w:w="50" w:type="dxa"/>
              <w:left w:w="55" w:type="dxa"/>
              <w:bottom w:w="50" w:type="dxa"/>
              <w:right w:w="55" w:type="dxa"/>
            </w:tcMar>
          </w:tcPr>
          <w:p w14:paraId="58CAE1C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Medium</w:t>
            </w:r>
          </w:p>
        </w:tc>
        <w:tc>
          <w:tcPr>
            <w:tcW w:w="1224" w:type="dxa"/>
            <w:tcMar>
              <w:top w:w="50" w:type="dxa"/>
              <w:left w:w="55" w:type="dxa"/>
              <w:bottom w:w="50" w:type="dxa"/>
              <w:right w:w="55" w:type="dxa"/>
            </w:tcMar>
          </w:tcPr>
          <w:p w14:paraId="7A44994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tcMar>
              <w:top w:w="50" w:type="dxa"/>
              <w:left w:w="55" w:type="dxa"/>
              <w:bottom w:w="50" w:type="dxa"/>
              <w:right w:w="55" w:type="dxa"/>
            </w:tcMar>
          </w:tcPr>
          <w:p w14:paraId="34BA5BD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alert or freeze confirmation, release history, identity changes, lift requests, written notices, and resulting damages.</w:t>
            </w:r>
          </w:p>
        </w:tc>
      </w:tr>
      <w:tr w:rsidR="00756B19" w:rsidRPr="00566B6A" w14:paraId="3F8E56BF" w14:textId="77777777">
        <w:trPr>
          <w:cantSplit/>
          <w:jc w:val="center"/>
        </w:trPr>
        <w:tc>
          <w:tcPr>
            <w:tcW w:w="2232" w:type="dxa"/>
            <w:shd w:val="clear" w:color="auto" w:fill="F7FAFC"/>
            <w:tcMar>
              <w:top w:w="50" w:type="dxa"/>
              <w:left w:w="55" w:type="dxa"/>
              <w:bottom w:w="50" w:type="dxa"/>
              <w:right w:w="55" w:type="dxa"/>
            </w:tcMar>
          </w:tcPr>
          <w:p w14:paraId="335C2B8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Data breach / privacy</w:t>
            </w:r>
          </w:p>
        </w:tc>
        <w:tc>
          <w:tcPr>
            <w:tcW w:w="3096" w:type="dxa"/>
            <w:shd w:val="clear" w:color="auto" w:fill="F7FAFC"/>
            <w:tcMar>
              <w:top w:w="50" w:type="dxa"/>
              <w:left w:w="55" w:type="dxa"/>
              <w:bottom w:w="50" w:type="dxa"/>
              <w:right w:w="55" w:type="dxa"/>
            </w:tcMar>
          </w:tcPr>
          <w:p w14:paraId="71FE2D9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Cal. Civ. Code §§ 1798.29, 1798.82</w:t>
            </w:r>
          </w:p>
        </w:tc>
        <w:tc>
          <w:tcPr>
            <w:tcW w:w="1080" w:type="dxa"/>
            <w:shd w:val="clear" w:color="auto" w:fill="F7FAFC"/>
            <w:tcMar>
              <w:top w:w="50" w:type="dxa"/>
              <w:left w:w="55" w:type="dxa"/>
              <w:bottom w:w="50" w:type="dxa"/>
              <w:right w:w="55" w:type="dxa"/>
            </w:tcMar>
          </w:tcPr>
          <w:p w14:paraId="3F289E8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shd w:val="clear" w:color="auto" w:fill="F7FAFC"/>
            <w:tcMar>
              <w:top w:w="50" w:type="dxa"/>
              <w:left w:w="55" w:type="dxa"/>
              <w:bottom w:w="50" w:type="dxa"/>
              <w:right w:w="55" w:type="dxa"/>
            </w:tcMar>
          </w:tcPr>
          <w:p w14:paraId="1456676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shd w:val="clear" w:color="auto" w:fill="F7FAFC"/>
            <w:tcMar>
              <w:top w:w="50" w:type="dxa"/>
              <w:left w:w="55" w:type="dxa"/>
              <w:bottom w:w="50" w:type="dxa"/>
              <w:right w:w="55" w:type="dxa"/>
            </w:tcMar>
          </w:tcPr>
          <w:p w14:paraId="51C9A36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Keep breach notice, affected data, dates, AG sample notice, investigation findings, law-enforcement delay, and remediation records.</w:t>
            </w:r>
          </w:p>
        </w:tc>
      </w:tr>
      <w:tr w:rsidR="00756B19" w:rsidRPr="00566B6A" w14:paraId="08555920" w14:textId="77777777">
        <w:trPr>
          <w:cantSplit/>
          <w:jc w:val="center"/>
        </w:trPr>
        <w:tc>
          <w:tcPr>
            <w:tcW w:w="2232" w:type="dxa"/>
            <w:tcMar>
              <w:top w:w="50" w:type="dxa"/>
              <w:left w:w="55" w:type="dxa"/>
              <w:bottom w:w="50" w:type="dxa"/>
              <w:right w:w="55" w:type="dxa"/>
            </w:tcMar>
          </w:tcPr>
          <w:p w14:paraId="52A2BD4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UDAP deceptive practices</w:t>
            </w:r>
          </w:p>
        </w:tc>
        <w:tc>
          <w:tcPr>
            <w:tcW w:w="3096" w:type="dxa"/>
            <w:tcMar>
              <w:top w:w="50" w:type="dxa"/>
              <w:left w:w="55" w:type="dxa"/>
              <w:bottom w:w="50" w:type="dxa"/>
              <w:right w:w="55" w:type="dxa"/>
            </w:tcMar>
          </w:tcPr>
          <w:p w14:paraId="4844D3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UCL, Cal. Bus. &amp; Prof. Code §§ 17200–17210</w:t>
            </w:r>
          </w:p>
        </w:tc>
        <w:tc>
          <w:tcPr>
            <w:tcW w:w="1080" w:type="dxa"/>
            <w:tcMar>
              <w:top w:w="50" w:type="dxa"/>
              <w:left w:w="55" w:type="dxa"/>
              <w:bottom w:w="50" w:type="dxa"/>
              <w:right w:w="55" w:type="dxa"/>
            </w:tcMar>
          </w:tcPr>
          <w:p w14:paraId="1369BC8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tcMar>
              <w:top w:w="50" w:type="dxa"/>
              <w:left w:w="55" w:type="dxa"/>
              <w:bottom w:w="50" w:type="dxa"/>
              <w:right w:w="55" w:type="dxa"/>
            </w:tcMar>
          </w:tcPr>
          <w:p w14:paraId="5A73802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Low–Med</w:t>
            </w:r>
          </w:p>
        </w:tc>
        <w:tc>
          <w:tcPr>
            <w:tcW w:w="6768" w:type="dxa"/>
            <w:tcMar>
              <w:top w:w="50" w:type="dxa"/>
              <w:left w:w="55" w:type="dxa"/>
              <w:bottom w:w="50" w:type="dxa"/>
              <w:right w:w="55" w:type="dxa"/>
            </w:tcMar>
          </w:tcPr>
          <w:p w14:paraId="1C085FF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Frame a distinct business practice, reliance where required, injury in fact, lost money or property, restitution theory, and four-year chronology.</w:t>
            </w:r>
          </w:p>
        </w:tc>
      </w:tr>
    </w:tbl>
    <w:p w14:paraId="4D48D96C" w14:textId="77777777" w:rsidR="00756B19" w:rsidRPr="00566B6A" w:rsidRDefault="00756B19">
      <w:pPr>
        <w:spacing w:after="20"/>
        <w:rPr>
          <w:rFonts w:ascii="Courier New" w:hAnsi="Courier New" w:cs="Courier New"/>
          <w:sz w:val="22"/>
        </w:rPr>
      </w:pPr>
    </w:p>
    <w:p w14:paraId="7EC9D1EE"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Safer zones (generally):</w:t>
      </w:r>
      <w:r w:rsidRPr="00566B6A">
        <w:rPr>
          <w:rFonts w:ascii="Courier New" w:hAnsi="Courier New" w:cs="Courier New"/>
          <w:sz w:val="22"/>
        </w:rPr>
        <w:t xml:space="preserve"> identity-theft conduct, Rosenthal Act collection communications, security-alert and freeze violations, breach-notification duties, and UCL deception that is factually distinct from CRA or furnisher reporting obligations.</w:t>
      </w:r>
    </w:p>
    <w:p w14:paraId="1F87A587"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Risky zones (generally): California claims that attempt to impose accuracy, reinvestigation, or furnishing duties parallel to the FCRA without identifying a preserved state provision or factually distinct conduct.</w:t>
      </w:r>
    </w:p>
    <w:p w14:paraId="31E5EE81" w14:textId="77777777" w:rsidR="00756B19" w:rsidRPr="00566B6A" w:rsidRDefault="00F247EE">
      <w:pPr>
        <w:spacing w:after="60"/>
        <w:rPr>
          <w:rFonts w:ascii="Courier New" w:hAnsi="Courier New" w:cs="Courier New"/>
          <w:sz w:val="22"/>
        </w:rPr>
      </w:pPr>
      <w:r w:rsidRPr="00566B6A">
        <w:rPr>
          <w:rFonts w:ascii="Courier New" w:hAnsi="Courier New" w:cs="Courier New"/>
          <w:i/>
          <w:sz w:val="22"/>
        </w:rPr>
        <w:t>No legal conclusions or outcome predictions are provided.</w:t>
      </w:r>
    </w:p>
    <w:p w14:paraId="5CFBA91F"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D — STATE-FIRST FACT-FINDING STRATEGY (IMPLEMENTATION PLAYBOOK)</w:t>
      </w:r>
    </w:p>
    <w:p w14:paraId="3D93F76F"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1 — </w:t>
      </w:r>
      <w:r w:rsidRPr="00566B6A">
        <w:rPr>
          <w:rFonts w:ascii="Courier New" w:hAnsi="Courier New" w:cs="Courier New"/>
          <w:sz w:val="22"/>
        </w:rPr>
        <w:t>Review credit reports for inaccuracies line-by-line against the bureau PDFs.</w:t>
      </w:r>
    </w:p>
    <w:p w14:paraId="708829C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lastRenderedPageBreak/>
        <w:t xml:space="preserve">Step 2 — </w:t>
      </w:r>
      <w:r w:rsidRPr="00566B6A">
        <w:rPr>
          <w:rFonts w:ascii="Courier New" w:hAnsi="Courier New" w:cs="Courier New"/>
          <w:sz w:val="22"/>
        </w:rPr>
        <w:t>Submit written CRA and furnisher disputes with proof of service, using certified mail or verifiable electronic proof.</w:t>
      </w:r>
    </w:p>
    <w:p w14:paraId="32B68F15"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3 — </w:t>
      </w:r>
      <w:r w:rsidRPr="00566B6A">
        <w:rPr>
          <w:rFonts w:ascii="Courier New" w:hAnsi="Courier New" w:cs="Courier New"/>
          <w:sz w:val="22"/>
        </w:rPr>
        <w:t>Request and preserve the contract, ledger, date-of-first-delinquency support, ownership chain, inquiry logs, and account-level data.</w:t>
      </w:r>
    </w:p>
    <w:p w14:paraId="209BD48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4 — </w:t>
      </w:r>
      <w:r w:rsidRPr="00566B6A">
        <w:rPr>
          <w:rFonts w:ascii="Courier New" w:hAnsi="Courier New" w:cs="Courier New"/>
          <w:sz w:val="22"/>
        </w:rPr>
        <w:t>Submit a method-of-verification or verification-description request under 15 U.S.C. § 1681i(a)(6), where applicable.</w:t>
      </w:r>
    </w:p>
    <w:p w14:paraId="1533EB0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5 — </w:t>
      </w:r>
      <w:r w:rsidRPr="00566B6A">
        <w:rPr>
          <w:rFonts w:ascii="Courier New" w:hAnsi="Courier New" w:cs="Courier New"/>
          <w:sz w:val="22"/>
        </w:rPr>
        <w:t>File a California complaint with the Attorney General, Department of Financial Protection and Innovation, or other agency with subject-matter jurisdiction; retain confirmation numbers and copies of every submission.</w:t>
      </w:r>
    </w:p>
    <w:p w14:paraId="03CB10D5"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6 — </w:t>
      </w:r>
      <w:r w:rsidRPr="00566B6A">
        <w:rPr>
          <w:rFonts w:ascii="Courier New" w:hAnsi="Courier New" w:cs="Courier New"/>
          <w:sz w:val="22"/>
        </w:rPr>
        <w:t>Preserve agency responses and index all events chronologically.</w:t>
      </w:r>
    </w:p>
    <w:p w14:paraId="205166D7"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7 — </w:t>
      </w:r>
      <w:r w:rsidRPr="00566B6A">
        <w:rPr>
          <w:rFonts w:ascii="Courier New" w:hAnsi="Courier New" w:cs="Courier New"/>
          <w:sz w:val="22"/>
        </w:rPr>
        <w:t>Escalate unresolved federal issues to the CFPB or FTC after state intake, where appropriate.</w:t>
      </w:r>
    </w:p>
    <w:p w14:paraId="6DE30711" w14:textId="77777777" w:rsidR="00756B19" w:rsidRDefault="00F247EE">
      <w:pPr>
        <w:ind w:left="72"/>
        <w:rPr>
          <w:rFonts w:ascii="Courier New" w:hAnsi="Courier New" w:cs="Courier New"/>
          <w:sz w:val="22"/>
        </w:rPr>
      </w:pPr>
      <w:r w:rsidRPr="00566B6A">
        <w:rPr>
          <w:rFonts w:ascii="Courier New" w:hAnsi="Courier New" w:cs="Courier New"/>
          <w:b/>
          <w:sz w:val="22"/>
        </w:rPr>
        <w:t xml:space="preserve">Step 8 — </w:t>
      </w:r>
      <w:r w:rsidRPr="00566B6A">
        <w:rPr>
          <w:rFonts w:ascii="Courier New" w:hAnsi="Courier New" w:cs="Courier New"/>
          <w:sz w:val="22"/>
        </w:rPr>
        <w:t>Maintain an evidence index with exhibit labels (A-1, A-2, …).</w:t>
      </w:r>
    </w:p>
    <w:p w14:paraId="116CE4F4" w14:textId="77777777" w:rsidR="00964317" w:rsidRPr="00566B6A" w:rsidRDefault="00964317">
      <w:pPr>
        <w:ind w:left="72"/>
        <w:rPr>
          <w:rFonts w:ascii="Courier New" w:hAnsi="Courier New" w:cs="Courier New"/>
          <w:sz w:val="22"/>
        </w:rPr>
      </w:pPr>
    </w:p>
    <w:p w14:paraId="39930386" w14:textId="77777777" w:rsidR="00756B19" w:rsidRDefault="00F247EE">
      <w:pPr>
        <w:pStyle w:val="Heading2"/>
        <w:spacing w:before="100" w:after="40"/>
        <w:rPr>
          <w:rFonts w:ascii="Courier New" w:eastAsia="Arial" w:hAnsi="Courier New" w:cs="Courier New"/>
          <w:color w:val="auto"/>
          <w:sz w:val="22"/>
          <w:szCs w:val="22"/>
        </w:rPr>
      </w:pPr>
      <w:r w:rsidRPr="00566B6A">
        <w:rPr>
          <w:rFonts w:ascii="Courier New" w:eastAsia="Arial" w:hAnsi="Courier New" w:cs="Courier New"/>
          <w:color w:val="auto"/>
          <w:sz w:val="22"/>
          <w:szCs w:val="22"/>
        </w:rPr>
        <w:t>STATE Record → FCRA Element Mapping (Educational)</w:t>
      </w:r>
    </w:p>
    <w:p w14:paraId="7AD968F4" w14:textId="77777777" w:rsidR="00964317" w:rsidRPr="00964317" w:rsidRDefault="00964317" w:rsidP="00964317"/>
    <w:tbl>
      <w:tblPr>
        <w:tblStyle w:val="TableGrid"/>
        <w:tblW w:w="0" w:type="auto"/>
        <w:jc w:val="center"/>
        <w:tblLayout w:type="fixed"/>
        <w:tblLook w:val="04A0" w:firstRow="1" w:lastRow="0" w:firstColumn="1" w:lastColumn="0" w:noHBand="0" w:noVBand="1"/>
      </w:tblPr>
      <w:tblGrid>
        <w:gridCol w:w="6048"/>
        <w:gridCol w:w="8352"/>
      </w:tblGrid>
      <w:tr w:rsidR="00756B19" w:rsidRPr="00566B6A" w14:paraId="23D1468C" w14:textId="77777777">
        <w:trPr>
          <w:cantSplit/>
          <w:tblHeader/>
          <w:jc w:val="center"/>
        </w:trPr>
        <w:tc>
          <w:tcPr>
            <w:tcW w:w="6048" w:type="dxa"/>
            <w:shd w:val="clear" w:color="auto" w:fill="D9EAF7"/>
            <w:tcMar>
              <w:top w:w="55" w:type="dxa"/>
              <w:left w:w="55" w:type="dxa"/>
              <w:bottom w:w="55" w:type="dxa"/>
              <w:right w:w="55" w:type="dxa"/>
            </w:tcMar>
            <w:vAlign w:val="center"/>
          </w:tcPr>
          <w:p w14:paraId="57FAF85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Administrative Record Item</w:t>
            </w:r>
          </w:p>
        </w:tc>
        <w:tc>
          <w:tcPr>
            <w:tcW w:w="8352" w:type="dxa"/>
            <w:shd w:val="clear" w:color="auto" w:fill="D9EAF7"/>
            <w:tcMar>
              <w:top w:w="55" w:type="dxa"/>
              <w:left w:w="55" w:type="dxa"/>
              <w:bottom w:w="55" w:type="dxa"/>
              <w:right w:w="55" w:type="dxa"/>
            </w:tcMar>
            <w:vAlign w:val="center"/>
          </w:tcPr>
          <w:p w14:paraId="5215A7C0"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FCRA / State-Law Element Supported</w:t>
            </w:r>
          </w:p>
        </w:tc>
      </w:tr>
      <w:tr w:rsidR="00756B19" w:rsidRPr="00566B6A" w14:paraId="67E5BD99" w14:textId="77777777">
        <w:trPr>
          <w:cantSplit/>
          <w:jc w:val="center"/>
        </w:trPr>
        <w:tc>
          <w:tcPr>
            <w:tcW w:w="6048" w:type="dxa"/>
            <w:tcMar>
              <w:top w:w="50" w:type="dxa"/>
              <w:left w:w="55" w:type="dxa"/>
              <w:bottom w:w="50" w:type="dxa"/>
              <w:right w:w="55" w:type="dxa"/>
            </w:tcMar>
          </w:tcPr>
          <w:p w14:paraId="2E8C1B8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Dated dispute + proof of service</w:t>
            </w:r>
          </w:p>
        </w:tc>
        <w:tc>
          <w:tcPr>
            <w:tcW w:w="8352" w:type="dxa"/>
            <w:tcMar>
              <w:top w:w="50" w:type="dxa"/>
              <w:left w:w="55" w:type="dxa"/>
              <w:bottom w:w="50" w:type="dxa"/>
              <w:right w:w="55" w:type="dxa"/>
            </w:tcMar>
          </w:tcPr>
          <w:p w14:paraId="5008425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Notice and dispute initiation</w:t>
            </w:r>
          </w:p>
        </w:tc>
      </w:tr>
      <w:tr w:rsidR="00756B19" w:rsidRPr="00566B6A" w14:paraId="55F078A6" w14:textId="77777777">
        <w:trPr>
          <w:cantSplit/>
          <w:jc w:val="center"/>
        </w:trPr>
        <w:tc>
          <w:tcPr>
            <w:tcW w:w="6048" w:type="dxa"/>
            <w:shd w:val="clear" w:color="auto" w:fill="F7FAFC"/>
            <w:tcMar>
              <w:top w:w="50" w:type="dxa"/>
              <w:left w:w="55" w:type="dxa"/>
              <w:bottom w:w="50" w:type="dxa"/>
              <w:right w:w="55" w:type="dxa"/>
            </w:tcMar>
          </w:tcPr>
          <w:p w14:paraId="73A7870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CRA response + method-of-verification disclosure</w:t>
            </w:r>
          </w:p>
        </w:tc>
        <w:tc>
          <w:tcPr>
            <w:tcW w:w="8352" w:type="dxa"/>
            <w:shd w:val="clear" w:color="auto" w:fill="F7FAFC"/>
            <w:tcMar>
              <w:top w:w="50" w:type="dxa"/>
              <w:left w:w="55" w:type="dxa"/>
              <w:bottom w:w="50" w:type="dxa"/>
              <w:right w:w="55" w:type="dxa"/>
            </w:tcMar>
          </w:tcPr>
          <w:p w14:paraId="7CF4C9D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Reasonableness and procedure transparency</w:t>
            </w:r>
          </w:p>
        </w:tc>
      </w:tr>
      <w:tr w:rsidR="00756B19" w:rsidRPr="00566B6A" w14:paraId="123FB0A1" w14:textId="77777777">
        <w:trPr>
          <w:cantSplit/>
          <w:jc w:val="center"/>
        </w:trPr>
        <w:tc>
          <w:tcPr>
            <w:tcW w:w="6048" w:type="dxa"/>
            <w:tcMar>
              <w:top w:w="50" w:type="dxa"/>
              <w:left w:w="55" w:type="dxa"/>
              <w:bottom w:w="50" w:type="dxa"/>
              <w:right w:w="55" w:type="dxa"/>
            </w:tcMar>
          </w:tcPr>
          <w:p w14:paraId="05516B0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Furnisher silence or generic verification</w:t>
            </w:r>
          </w:p>
        </w:tc>
        <w:tc>
          <w:tcPr>
            <w:tcW w:w="8352" w:type="dxa"/>
            <w:tcMar>
              <w:top w:w="50" w:type="dxa"/>
              <w:left w:w="55" w:type="dxa"/>
              <w:bottom w:w="50" w:type="dxa"/>
              <w:right w:w="55" w:type="dxa"/>
            </w:tcMar>
          </w:tcPr>
          <w:p w14:paraId="1F837C2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Potential deficiency requiring further documentation; no liability conclusion</w:t>
            </w:r>
          </w:p>
        </w:tc>
      </w:tr>
      <w:tr w:rsidR="00756B19" w:rsidRPr="00566B6A" w14:paraId="20BCF233" w14:textId="77777777">
        <w:trPr>
          <w:cantSplit/>
          <w:jc w:val="center"/>
        </w:trPr>
        <w:tc>
          <w:tcPr>
            <w:tcW w:w="6048" w:type="dxa"/>
            <w:shd w:val="clear" w:color="auto" w:fill="F7FAFC"/>
            <w:tcMar>
              <w:top w:w="50" w:type="dxa"/>
              <w:left w:w="55" w:type="dxa"/>
              <w:bottom w:w="50" w:type="dxa"/>
              <w:right w:w="55" w:type="dxa"/>
            </w:tcMar>
          </w:tcPr>
          <w:p w14:paraId="3067C1A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California AG / DFPI / privacy-agency complaint + agency ID</w:t>
            </w:r>
          </w:p>
        </w:tc>
        <w:tc>
          <w:tcPr>
            <w:tcW w:w="8352" w:type="dxa"/>
            <w:shd w:val="clear" w:color="auto" w:fill="F7FAFC"/>
            <w:tcMar>
              <w:top w:w="50" w:type="dxa"/>
              <w:left w:w="55" w:type="dxa"/>
              <w:bottom w:w="50" w:type="dxa"/>
              <w:right w:w="55" w:type="dxa"/>
            </w:tcMar>
          </w:tcPr>
          <w:p w14:paraId="177C906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Chronology, notice, and administrative record-building</w:t>
            </w:r>
          </w:p>
        </w:tc>
      </w:tr>
      <w:tr w:rsidR="00756B19" w:rsidRPr="00566B6A" w14:paraId="05D5AA94" w14:textId="77777777">
        <w:trPr>
          <w:cantSplit/>
          <w:jc w:val="center"/>
        </w:trPr>
        <w:tc>
          <w:tcPr>
            <w:tcW w:w="6048" w:type="dxa"/>
            <w:tcMar>
              <w:top w:w="50" w:type="dxa"/>
              <w:left w:w="55" w:type="dxa"/>
              <w:bottom w:w="50" w:type="dxa"/>
              <w:right w:w="55" w:type="dxa"/>
            </w:tcMar>
          </w:tcPr>
          <w:p w14:paraId="0BA4512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Identity-theft affidavit + police/FTC report</w:t>
            </w:r>
          </w:p>
        </w:tc>
        <w:tc>
          <w:tcPr>
            <w:tcW w:w="8352" w:type="dxa"/>
            <w:tcMar>
              <w:top w:w="50" w:type="dxa"/>
              <w:left w:w="55" w:type="dxa"/>
              <w:bottom w:w="50" w:type="dxa"/>
              <w:right w:w="55" w:type="dxa"/>
            </w:tcMar>
          </w:tcPr>
          <w:p w14:paraId="39C997E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Blocking, fraud-alert, and identity-restoration procedures</w:t>
            </w:r>
          </w:p>
        </w:tc>
      </w:tr>
      <w:tr w:rsidR="00756B19" w:rsidRPr="00566B6A" w14:paraId="0344971C" w14:textId="77777777">
        <w:trPr>
          <w:cantSplit/>
          <w:jc w:val="center"/>
        </w:trPr>
        <w:tc>
          <w:tcPr>
            <w:tcW w:w="6048" w:type="dxa"/>
            <w:shd w:val="clear" w:color="auto" w:fill="F7FAFC"/>
            <w:tcMar>
              <w:top w:w="50" w:type="dxa"/>
              <w:left w:w="55" w:type="dxa"/>
              <w:bottom w:w="50" w:type="dxa"/>
              <w:right w:w="55" w:type="dxa"/>
            </w:tcMar>
          </w:tcPr>
          <w:p w14:paraId="70FD969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Ledger / date-of-first-delinquency documentation gaps</w:t>
            </w:r>
          </w:p>
        </w:tc>
        <w:tc>
          <w:tcPr>
            <w:tcW w:w="8352" w:type="dxa"/>
            <w:shd w:val="clear" w:color="auto" w:fill="F7FAFC"/>
            <w:tcMar>
              <w:top w:w="50" w:type="dxa"/>
              <w:left w:w="55" w:type="dxa"/>
              <w:bottom w:w="50" w:type="dxa"/>
              <w:right w:w="55" w:type="dxa"/>
            </w:tcMar>
          </w:tcPr>
          <w:p w14:paraId="4B86890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Accuracy and completeness questions</w:t>
            </w:r>
          </w:p>
        </w:tc>
      </w:tr>
      <w:tr w:rsidR="00756B19" w:rsidRPr="00566B6A" w14:paraId="25FBD96C" w14:textId="77777777">
        <w:trPr>
          <w:cantSplit/>
          <w:jc w:val="center"/>
        </w:trPr>
        <w:tc>
          <w:tcPr>
            <w:tcW w:w="6048" w:type="dxa"/>
            <w:tcMar>
              <w:top w:w="50" w:type="dxa"/>
              <w:left w:w="55" w:type="dxa"/>
              <w:bottom w:w="50" w:type="dxa"/>
              <w:right w:w="55" w:type="dxa"/>
            </w:tcMar>
          </w:tcPr>
          <w:p w14:paraId="7965C9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UCL transaction, reliance, economic injury, and restitution evidence</w:t>
            </w:r>
          </w:p>
        </w:tc>
        <w:tc>
          <w:tcPr>
            <w:tcW w:w="8352" w:type="dxa"/>
            <w:tcMar>
              <w:top w:w="50" w:type="dxa"/>
              <w:left w:w="55" w:type="dxa"/>
              <w:bottom w:w="50" w:type="dxa"/>
              <w:right w:w="55" w:type="dxa"/>
            </w:tcMar>
          </w:tcPr>
          <w:p w14:paraId="50ECC2D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Standing, causation, lost money or property, restitution, and four-year limitations timing</w:t>
            </w:r>
          </w:p>
        </w:tc>
      </w:tr>
    </w:tbl>
    <w:p w14:paraId="49D0CEDD" w14:textId="77777777" w:rsidR="00756B19" w:rsidRPr="00566B6A" w:rsidRDefault="00756B19">
      <w:pPr>
        <w:spacing w:after="20"/>
        <w:rPr>
          <w:rFonts w:ascii="Courier New" w:hAnsi="Courier New" w:cs="Courier New"/>
          <w:sz w:val="22"/>
        </w:rPr>
      </w:pPr>
    </w:p>
    <w:p w14:paraId="6A9CCAD3"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PART E — PROCEDURAL ENFORCEMENT TOOLS (NON-ACCUSATORY)</w:t>
      </w:r>
    </w:p>
    <w:p w14:paraId="1C1DF8F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Method-of-verification / verification-description request</w:t>
      </w:r>
    </w:p>
    <w:p w14:paraId="44E5D0C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Permissible-purpose request concerning inquiries and file access</w:t>
      </w:r>
    </w:p>
    <w:p w14:paraId="3F88794E"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Ledger, balance-validation, and date-of-first-delinquency support request</w:t>
      </w:r>
    </w:p>
    <w:p w14:paraId="71A2729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Liability-classification review: personal obligor, authorized user, guarantor, or business signer</w:t>
      </w:r>
    </w:p>
    <w:p w14:paraId="0012C8C0"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Identity-integrity review: addresses, aliases, mixed-file indicators, and identity-theft markers</w:t>
      </w:r>
    </w:p>
    <w:p w14:paraId="6BAC22B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California UCL standing, reliance, restitution, and four-year limitations review when lost money or property is documented</w:t>
      </w:r>
    </w:p>
    <w:p w14:paraId="45BCFD28"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Rosenthal Act communication, collector-status, licensing, and one-year limitations review</w:t>
      </w:r>
    </w:p>
    <w:p w14:paraId="7E48C902"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Findings-rejection protocol when an item is marked “verified” without a disclosed methodology</w:t>
      </w:r>
    </w:p>
    <w:p w14:paraId="49545DFE"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Emphasize objective evidence.</w:t>
      </w:r>
      <w:r w:rsidRPr="00566B6A">
        <w:rPr>
          <w:rFonts w:ascii="Courier New" w:hAnsi="Courier New" w:cs="Courier New"/>
          <w:sz w:val="22"/>
        </w:rPr>
        <w:t xml:space="preserve"> Avoid accusatory language, unsupported liability conclusions, and assumptions of wrongdoing.</w:t>
      </w:r>
    </w:p>
    <w:p w14:paraId="44A6B450"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F — STATE-SPECIFIC MODULE (AUTO-INJECT, REQUIRED)</w:t>
      </w:r>
    </w:p>
    <w:p w14:paraId="4A602F23"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w:t>
      </w:r>
      <w:r w:rsidRPr="00566B6A">
        <w:rPr>
          <w:rFonts w:ascii="Courier New" w:hAnsi="Courier New" w:cs="Courier New"/>
          <w:sz w:val="22"/>
        </w:rPr>
        <w:t xml:space="preserve"> California (CA)</w:t>
      </w:r>
    </w:p>
    <w:p w14:paraId="66FD35E4"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Statutes / Acts</w:t>
      </w:r>
    </w:p>
    <w:p w14:paraId="1B09666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California Unfair Competition Law (UCL) | </w:t>
      </w:r>
      <w:r w:rsidRPr="00566B6A">
        <w:rPr>
          <w:rFonts w:ascii="Courier New" w:hAnsi="Courier New" w:cs="Courier New"/>
          <w:sz w:val="22"/>
        </w:rPr>
        <w:t>Cal. Bus. &amp; Prof. Code §§ 17200–17210 | Remedies: injunction and restitution for qualifying private claims; public enforcement may include injunction, restitution, and civil penalties; four-year period under § 17208. | Authority: Attorney General, authorized local prosecutors, and courts.</w:t>
      </w:r>
    </w:p>
    <w:p w14:paraId="52AAAA47"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Rosenthal Fair Debt Collection Practices Act | </w:t>
      </w:r>
      <w:r w:rsidRPr="00566B6A">
        <w:rPr>
          <w:rFonts w:ascii="Courier New" w:hAnsi="Courier New" w:cs="Courier New"/>
          <w:sz w:val="22"/>
        </w:rPr>
        <w:t>Cal. Civ. Code §§ 1788–1788.33 | Remedies: actual damages; $100–$1,000 additional penalty for willful and knowing violations; costs and fees under § 1788.30; one-year period. | Authority: courts / DFPI / Attorney General.</w:t>
      </w:r>
    </w:p>
    <w:p w14:paraId="7853415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California Consumer Credit Reporting Agencies Act (CCRAA) | </w:t>
      </w:r>
      <w:r w:rsidRPr="00566B6A">
        <w:rPr>
          <w:rFonts w:ascii="Courier New" w:hAnsi="Courier New" w:cs="Courier New"/>
          <w:sz w:val="22"/>
        </w:rPr>
        <w:t>Cal. Civ. Code §§ 1785.1–1785.36 | Remedies: reinvestigation, correction or deletion, identity-theft blocking, alerts, freezes, damages, injunction, costs, and fees where authorized. | Authority: courts / CRAs / regulators.</w:t>
      </w:r>
    </w:p>
    <w:p w14:paraId="2CFF188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California Security Breach Notification Laws | </w:t>
      </w:r>
      <w:r w:rsidRPr="00566B6A">
        <w:rPr>
          <w:rFonts w:ascii="Courier New" w:hAnsi="Courier New" w:cs="Courier New"/>
          <w:sz w:val="22"/>
        </w:rPr>
        <w:t>Cal. Civ. Code §§ 1798.29 and 1798.82 | Remedies: required notice and remediation; damages and injunction where authorized, including § 1798.84. | Authority: Attorney General / courts / covered agencies.</w:t>
      </w:r>
    </w:p>
    <w:p w14:paraId="515DA0A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California Identity-Theft and Credit-File Blocking Provisions | </w:t>
      </w:r>
      <w:r w:rsidRPr="00566B6A">
        <w:rPr>
          <w:rFonts w:ascii="Courier New" w:hAnsi="Courier New" w:cs="Courier New"/>
          <w:sz w:val="22"/>
        </w:rPr>
        <w:t xml:space="preserve">Cal. Penal Code § 530.5 and Cal. Civ. Code § 1785.16(k)–(l) | Remedies: criminal penalties, police reports, permanent </w:t>
      </w:r>
      <w:r w:rsidRPr="00566B6A">
        <w:rPr>
          <w:rFonts w:ascii="Courier New" w:hAnsi="Courier New" w:cs="Courier New"/>
          <w:sz w:val="22"/>
        </w:rPr>
        <w:lastRenderedPageBreak/>
        <w:t>blocking subject to safeguards, and identity restoration. | Authority: law enforcement / courts / CRAs.</w:t>
      </w:r>
    </w:p>
    <w:p w14:paraId="0FE81E4D"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Regulations</w:t>
      </w:r>
    </w:p>
    <w:p w14:paraId="56DF335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California Debt Collection Licensing Regulations — </w:t>
      </w:r>
      <w:r w:rsidRPr="00566B6A">
        <w:rPr>
          <w:rFonts w:ascii="Courier New" w:hAnsi="Courier New" w:cs="Courier New"/>
          <w:sz w:val="22"/>
        </w:rPr>
        <w:t>Title 10, California Code of Regulations, Chapter 3, Subchapter 11.3, beginning with § 1850. Verify the current section before use.</w:t>
      </w:r>
    </w:p>
    <w:p w14:paraId="4BC12908"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Policies / Guidance</w:t>
      </w:r>
    </w:p>
    <w:p w14:paraId="4C4FF9F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California Attorney General — Public Rights Division, Consumer Protection Section: </w:t>
      </w:r>
      <w:r w:rsidRPr="00566B6A">
        <w:rPr>
          <w:rFonts w:ascii="Courier New" w:hAnsi="Courier New" w:cs="Courier New"/>
          <w:sz w:val="22"/>
        </w:rPr>
        <w:t>complaint intake and UCL enforcement guidance.</w:t>
      </w:r>
    </w:p>
    <w:p w14:paraId="33362FD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California Department of Financial Protection and Innovation: </w:t>
      </w:r>
      <w:r w:rsidRPr="00566B6A">
        <w:rPr>
          <w:rFonts w:ascii="Courier New" w:hAnsi="Courier New" w:cs="Courier New"/>
          <w:sz w:val="22"/>
        </w:rPr>
        <w:t>debt-collector licensing, complaints, examinations, and oversight.</w:t>
      </w:r>
    </w:p>
    <w:p w14:paraId="40D5DED0"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California Privacy Protection Agency / California Attorney General: </w:t>
      </w:r>
      <w:r w:rsidRPr="00566B6A">
        <w:rPr>
          <w:rFonts w:ascii="Courier New" w:hAnsi="Courier New" w:cs="Courier New"/>
          <w:sz w:val="22"/>
        </w:rPr>
        <w:t>privacy and breach pathways within their respective jurisdiction.</w:t>
      </w:r>
    </w:p>
    <w:p w14:paraId="67D1A2A2"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Ordinances</w:t>
      </w:r>
    </w:p>
    <w:p w14:paraId="70590F38" w14:textId="77777777" w:rsidR="00756B19" w:rsidRDefault="00F247EE">
      <w:pPr>
        <w:spacing w:after="60"/>
        <w:rPr>
          <w:rFonts w:ascii="Courier New" w:hAnsi="Courier New" w:cs="Courier New"/>
          <w:sz w:val="22"/>
        </w:rPr>
      </w:pPr>
      <w:r w:rsidRPr="00566B6A">
        <w:rPr>
          <w:rFonts w:ascii="Courier New" w:hAnsi="Courier New" w:cs="Courier New"/>
          <w:sz w:val="22"/>
        </w:rPr>
        <w:t>Local ordinances are not typically the controlling authority for credit-reporting disputes; none are identified as directly applicable in California without municipal verification.</w:t>
      </w:r>
    </w:p>
    <w:p w14:paraId="67D233BA" w14:textId="77777777" w:rsidR="00964317" w:rsidRPr="00566B6A" w:rsidRDefault="00964317">
      <w:pPr>
        <w:spacing w:after="60"/>
        <w:rPr>
          <w:rFonts w:ascii="Courier New" w:hAnsi="Courier New" w:cs="Courier New"/>
          <w:sz w:val="22"/>
        </w:rPr>
      </w:pPr>
    </w:p>
    <w:p w14:paraId="23A9C68A"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Case Law (Curated)</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56C90A9F" w14:textId="77777777">
        <w:trPr>
          <w:cantSplit/>
          <w:tblHeader/>
          <w:jc w:val="center"/>
        </w:trPr>
        <w:tc>
          <w:tcPr>
            <w:tcW w:w="2232" w:type="dxa"/>
            <w:shd w:val="clear" w:color="auto" w:fill="D9EAF7"/>
            <w:tcMar>
              <w:top w:w="55" w:type="dxa"/>
              <w:left w:w="55" w:type="dxa"/>
              <w:bottom w:w="55" w:type="dxa"/>
              <w:right w:w="55" w:type="dxa"/>
            </w:tcMar>
            <w:vAlign w:val="center"/>
          </w:tcPr>
          <w:p w14:paraId="433264E3"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7F55409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049CB34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0A97A350"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7660DDB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7D26DBB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44D686B0" w14:textId="77777777">
        <w:trPr>
          <w:cantSplit/>
          <w:jc w:val="center"/>
        </w:trPr>
        <w:tc>
          <w:tcPr>
            <w:tcW w:w="2232" w:type="dxa"/>
            <w:tcMar>
              <w:top w:w="50" w:type="dxa"/>
              <w:left w:w="55" w:type="dxa"/>
              <w:bottom w:w="50" w:type="dxa"/>
              <w:right w:w="55" w:type="dxa"/>
            </w:tcMar>
          </w:tcPr>
          <w:p w14:paraId="79A966A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Kwikset Corp. v. Superior Court</w:t>
            </w:r>
          </w:p>
        </w:tc>
        <w:tc>
          <w:tcPr>
            <w:tcW w:w="1152" w:type="dxa"/>
            <w:tcMar>
              <w:top w:w="50" w:type="dxa"/>
              <w:left w:w="55" w:type="dxa"/>
              <w:bottom w:w="50" w:type="dxa"/>
              <w:right w:w="55" w:type="dxa"/>
            </w:tcMar>
          </w:tcPr>
          <w:p w14:paraId="72D4F0C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Cal. Sup. Ct.</w:t>
            </w:r>
          </w:p>
        </w:tc>
        <w:tc>
          <w:tcPr>
            <w:tcW w:w="748" w:type="dxa"/>
            <w:tcMar>
              <w:top w:w="50" w:type="dxa"/>
              <w:left w:w="55" w:type="dxa"/>
              <w:bottom w:w="50" w:type="dxa"/>
              <w:right w:w="55" w:type="dxa"/>
            </w:tcMar>
          </w:tcPr>
          <w:p w14:paraId="6E26254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2011</w:t>
            </w:r>
          </w:p>
        </w:tc>
        <w:tc>
          <w:tcPr>
            <w:tcW w:w="2088" w:type="dxa"/>
            <w:tcMar>
              <w:top w:w="50" w:type="dxa"/>
              <w:left w:w="55" w:type="dxa"/>
              <w:bottom w:w="50" w:type="dxa"/>
              <w:right w:w="55" w:type="dxa"/>
            </w:tcMar>
          </w:tcPr>
          <w:p w14:paraId="487057E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51 Cal. 4th 310, 246 P.3d 877</w:t>
            </w:r>
          </w:p>
        </w:tc>
        <w:tc>
          <w:tcPr>
            <w:tcW w:w="4536" w:type="dxa"/>
            <w:tcMar>
              <w:top w:w="50" w:type="dxa"/>
              <w:left w:w="55" w:type="dxa"/>
              <w:bottom w:w="50" w:type="dxa"/>
              <w:right w:w="55" w:type="dxa"/>
            </w:tcMar>
          </w:tcPr>
          <w:p w14:paraId="18E812C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 private UCL plaintiff must show economic injury caused by the challenged practice. Buying a product in reliance on a false label may establish lost money or property.</w:t>
            </w:r>
          </w:p>
        </w:tc>
        <w:tc>
          <w:tcPr>
            <w:tcW w:w="3643" w:type="dxa"/>
            <w:tcMar>
              <w:top w:w="50" w:type="dxa"/>
              <w:left w:w="55" w:type="dxa"/>
              <w:bottom w:w="50" w:type="dxa"/>
              <w:right w:w="55" w:type="dxa"/>
            </w:tcMar>
          </w:tcPr>
          <w:p w14:paraId="1A2627E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Document the representation, purchase, reliance, price paid, economic loss, and causal link.</w:t>
            </w:r>
          </w:p>
        </w:tc>
      </w:tr>
      <w:tr w:rsidR="00756B19" w:rsidRPr="00566B6A" w14:paraId="5698ECA4" w14:textId="77777777">
        <w:trPr>
          <w:cantSplit/>
          <w:jc w:val="center"/>
        </w:trPr>
        <w:tc>
          <w:tcPr>
            <w:tcW w:w="2232" w:type="dxa"/>
            <w:shd w:val="clear" w:color="auto" w:fill="F7FAFC"/>
            <w:tcMar>
              <w:top w:w="50" w:type="dxa"/>
              <w:left w:w="55" w:type="dxa"/>
              <w:bottom w:w="50" w:type="dxa"/>
              <w:right w:w="55" w:type="dxa"/>
            </w:tcMar>
          </w:tcPr>
          <w:p w14:paraId="74F9F4B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In re Tobacco II Cases</w:t>
            </w:r>
          </w:p>
        </w:tc>
        <w:tc>
          <w:tcPr>
            <w:tcW w:w="1152" w:type="dxa"/>
            <w:shd w:val="clear" w:color="auto" w:fill="F7FAFC"/>
            <w:tcMar>
              <w:top w:w="50" w:type="dxa"/>
              <w:left w:w="55" w:type="dxa"/>
              <w:bottom w:w="50" w:type="dxa"/>
              <w:right w:w="55" w:type="dxa"/>
            </w:tcMar>
          </w:tcPr>
          <w:p w14:paraId="342ED8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Cal. Sup. Ct.</w:t>
            </w:r>
          </w:p>
        </w:tc>
        <w:tc>
          <w:tcPr>
            <w:tcW w:w="748" w:type="dxa"/>
            <w:shd w:val="clear" w:color="auto" w:fill="F7FAFC"/>
            <w:tcMar>
              <w:top w:w="50" w:type="dxa"/>
              <w:left w:w="55" w:type="dxa"/>
              <w:bottom w:w="50" w:type="dxa"/>
              <w:right w:w="55" w:type="dxa"/>
            </w:tcMar>
          </w:tcPr>
          <w:p w14:paraId="0438024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2009</w:t>
            </w:r>
          </w:p>
        </w:tc>
        <w:tc>
          <w:tcPr>
            <w:tcW w:w="2088" w:type="dxa"/>
            <w:shd w:val="clear" w:color="auto" w:fill="F7FAFC"/>
            <w:tcMar>
              <w:top w:w="50" w:type="dxa"/>
              <w:left w:w="55" w:type="dxa"/>
              <w:bottom w:w="50" w:type="dxa"/>
              <w:right w:w="55" w:type="dxa"/>
            </w:tcMar>
          </w:tcPr>
          <w:p w14:paraId="73BC4D6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46 Cal. 4th 298, 207 P.3d 20</w:t>
            </w:r>
          </w:p>
        </w:tc>
        <w:tc>
          <w:tcPr>
            <w:tcW w:w="4536" w:type="dxa"/>
            <w:shd w:val="clear" w:color="auto" w:fill="F7FAFC"/>
            <w:tcMar>
              <w:top w:w="50" w:type="dxa"/>
              <w:left w:w="55" w:type="dxa"/>
              <w:bottom w:w="50" w:type="dxa"/>
              <w:right w:w="55" w:type="dxa"/>
            </w:tcMar>
          </w:tcPr>
          <w:p w14:paraId="19F38DE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The named plaintiff in a fraud-based UCL class action must show actual reliance and injury; absent class members need not each prove named-plaintiff standing at certification.</w:t>
            </w:r>
          </w:p>
        </w:tc>
        <w:tc>
          <w:tcPr>
            <w:tcW w:w="3643" w:type="dxa"/>
            <w:shd w:val="clear" w:color="auto" w:fill="F7FAFC"/>
            <w:tcMar>
              <w:top w:w="50" w:type="dxa"/>
              <w:left w:w="55" w:type="dxa"/>
              <w:bottom w:w="50" w:type="dxa"/>
              <w:right w:w="55" w:type="dxa"/>
            </w:tcMar>
          </w:tcPr>
          <w:p w14:paraId="2F97335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named claimant’s reliance chronology and classwide advertising, exposure, purchase, and injury evidence.</w:t>
            </w:r>
          </w:p>
        </w:tc>
      </w:tr>
      <w:tr w:rsidR="00756B19" w:rsidRPr="00566B6A" w14:paraId="7EDC4511" w14:textId="77777777">
        <w:trPr>
          <w:cantSplit/>
          <w:jc w:val="center"/>
        </w:trPr>
        <w:tc>
          <w:tcPr>
            <w:tcW w:w="2232" w:type="dxa"/>
            <w:tcMar>
              <w:top w:w="50" w:type="dxa"/>
              <w:left w:w="55" w:type="dxa"/>
              <w:bottom w:w="50" w:type="dxa"/>
              <w:right w:w="55" w:type="dxa"/>
            </w:tcMar>
          </w:tcPr>
          <w:p w14:paraId="43BB223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Komarova v. National Credit Acceptance, Inc.</w:t>
            </w:r>
          </w:p>
        </w:tc>
        <w:tc>
          <w:tcPr>
            <w:tcW w:w="1152" w:type="dxa"/>
            <w:tcMar>
              <w:top w:w="50" w:type="dxa"/>
              <w:left w:w="55" w:type="dxa"/>
              <w:bottom w:w="50" w:type="dxa"/>
              <w:right w:w="55" w:type="dxa"/>
            </w:tcMar>
          </w:tcPr>
          <w:p w14:paraId="7D1CCBF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Cal. Ct. App.</w:t>
            </w:r>
          </w:p>
        </w:tc>
        <w:tc>
          <w:tcPr>
            <w:tcW w:w="748" w:type="dxa"/>
            <w:tcMar>
              <w:top w:w="50" w:type="dxa"/>
              <w:left w:w="55" w:type="dxa"/>
              <w:bottom w:w="50" w:type="dxa"/>
              <w:right w:w="55" w:type="dxa"/>
            </w:tcMar>
          </w:tcPr>
          <w:p w14:paraId="54C95B6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2009</w:t>
            </w:r>
          </w:p>
        </w:tc>
        <w:tc>
          <w:tcPr>
            <w:tcW w:w="2088" w:type="dxa"/>
            <w:tcMar>
              <w:top w:w="50" w:type="dxa"/>
              <w:left w:w="55" w:type="dxa"/>
              <w:bottom w:w="50" w:type="dxa"/>
              <w:right w:w="55" w:type="dxa"/>
            </w:tcMar>
          </w:tcPr>
          <w:p w14:paraId="4BC38F4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175 Cal. App. 4th 324, 95 Cal. Rptr. 3d 880</w:t>
            </w:r>
          </w:p>
        </w:tc>
        <w:tc>
          <w:tcPr>
            <w:tcW w:w="4536" w:type="dxa"/>
            <w:tcMar>
              <w:top w:w="50" w:type="dxa"/>
              <w:left w:w="55" w:type="dxa"/>
              <w:bottom w:w="50" w:type="dxa"/>
              <w:right w:w="55" w:type="dxa"/>
            </w:tcMar>
          </w:tcPr>
          <w:p w14:paraId="285D488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Applied the Rosenthal Act to mistaken-identity collection, rejected the litigation-privilege defense, and recognized continuing-violation analysis under the facts.</w:t>
            </w:r>
          </w:p>
        </w:tc>
        <w:tc>
          <w:tcPr>
            <w:tcW w:w="3643" w:type="dxa"/>
            <w:tcMar>
              <w:top w:w="50" w:type="dxa"/>
              <w:left w:w="55" w:type="dxa"/>
              <w:bottom w:w="50" w:type="dxa"/>
              <w:right w:w="55" w:type="dxa"/>
            </w:tcMar>
          </w:tcPr>
          <w:p w14:paraId="1DB333F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identity proof, calls, letters, employer contacts, service records, disputes, responses, dates, and resulting harm.</w:t>
            </w:r>
          </w:p>
        </w:tc>
      </w:tr>
    </w:tbl>
    <w:p w14:paraId="635296EF" w14:textId="77777777" w:rsidR="00756B19" w:rsidRPr="00566B6A" w:rsidRDefault="00756B19">
      <w:pPr>
        <w:spacing w:after="20"/>
        <w:rPr>
          <w:rFonts w:ascii="Courier New" w:hAnsi="Courier New" w:cs="Courier New"/>
          <w:sz w:val="22"/>
        </w:rPr>
      </w:pPr>
    </w:p>
    <w:p w14:paraId="72752F1B"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G — ADAPTIVE AI AUTHORITY LIBRARY (CONSTANT UPDATES)</w:t>
      </w:r>
    </w:p>
    <w:p w14:paraId="149D0850"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Authority Library Version ID:</w:t>
      </w:r>
      <w:r w:rsidRPr="00566B6A">
        <w:rPr>
          <w:rFonts w:ascii="Courier New" w:hAnsi="Courier New" w:cs="Courier New"/>
          <w:sz w:val="22"/>
        </w:rPr>
        <w:t xml:space="preserve"> TK-Authority-2026-07-CA</w:t>
      </w:r>
    </w:p>
    <w:p w14:paraId="67548EF2"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Last Updated Date:</w:t>
      </w:r>
      <w:r w:rsidRPr="00566B6A">
        <w:rPr>
          <w:rFonts w:ascii="Courier New" w:hAnsi="Courier New" w:cs="Courier New"/>
          <w:sz w:val="22"/>
        </w:rPr>
        <w:t xml:space="preserve"> July 23, 2026</w:t>
      </w:r>
    </w:p>
    <w:p w14:paraId="31FCC85C"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 Filters Applied:</w:t>
      </w:r>
      <w:r w:rsidRPr="00566B6A">
        <w:rPr>
          <w:rFonts w:ascii="Courier New" w:hAnsi="Courier New" w:cs="Courier New"/>
          <w:sz w:val="22"/>
        </w:rPr>
        <w:t xml:space="preserve"> Federal + CA + WA</w:t>
      </w:r>
    </w:p>
    <w:p w14:paraId="499F4138" w14:textId="77777777" w:rsidR="00756B19" w:rsidRPr="00566B6A" w:rsidRDefault="00F247EE">
      <w:pPr>
        <w:spacing w:after="60"/>
        <w:rPr>
          <w:rFonts w:ascii="Courier New" w:hAnsi="Courier New" w:cs="Courier New"/>
          <w:sz w:val="22"/>
        </w:rPr>
      </w:pPr>
      <w:r w:rsidRPr="00566B6A">
        <w:rPr>
          <w:rFonts w:ascii="Courier New" w:hAnsi="Courier New" w:cs="Courier New"/>
          <w:sz w:val="22"/>
        </w:rPr>
        <w:t>Update Discipline: Citations must be validated against official sources before inclusion. California statutes were checked against current California Legislative Information and agency materials; federal authorities were checked against current U.S. Code and Regulation V materials available on July 23, 2026.</w:t>
      </w:r>
    </w:p>
    <w:p w14:paraId="7D95EC5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Confidence Flags</w:t>
      </w:r>
    </w:p>
    <w:p w14:paraId="7B98AE2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State-Specific Authority</w:t>
      </w:r>
    </w:p>
    <w:p w14:paraId="2B5D10D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Preemption-Sensitive Authority</w:t>
      </w:r>
    </w:p>
    <w:p w14:paraId="2C5AD9E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Subject to Legislative Updates</w:t>
      </w:r>
    </w:p>
    <w:p w14:paraId="34661A5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Subject to New Judicial Decisions</w:t>
      </w:r>
    </w:p>
    <w:p w14:paraId="4C0CF72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Verification Required when a regulation, agency jurisdiction, local ordinance, or private remedy is not expressly confirmed</w:t>
      </w:r>
    </w:p>
    <w:p w14:paraId="2873AAC8" w14:textId="77777777" w:rsidR="00756B19" w:rsidRPr="00566B6A" w:rsidRDefault="00F247EE">
      <w:pPr>
        <w:spacing w:after="60"/>
        <w:rPr>
          <w:rFonts w:ascii="Courier New" w:hAnsi="Courier New" w:cs="Courier New"/>
          <w:sz w:val="22"/>
        </w:rPr>
      </w:pPr>
      <w:r w:rsidRPr="00566B6A">
        <w:rPr>
          <w:rFonts w:ascii="Courier New" w:hAnsi="Courier New" w:cs="Courier New"/>
          <w:sz w:val="22"/>
        </w:rPr>
        <w:t>This section was generated using a continuously updated authority library designed to identify relevant federal and California consumer-protection authorities. Statutes, regulations, agency guidance, and judicial decisions may change over time. This section is educational and informational only and does not constitute legal advice or legal representation.</w:t>
      </w:r>
    </w:p>
    <w:p w14:paraId="786B72ED"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H — CITATION RULES (MANDATORY)</w:t>
      </w:r>
    </w:p>
    <w:p w14:paraId="4D24D7B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Statutes / Acts: official code citation by title, chapter, article, and section.</w:t>
      </w:r>
    </w:p>
    <w:p w14:paraId="197598B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Regulations: current California Code of Regulations citation by title, division, chapter, subchapter, and section.</w:t>
      </w:r>
    </w:p>
    <w:p w14:paraId="4F70BEFB"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lastRenderedPageBreak/>
        <w:t>Policies / Guidance: agency name, document or webpage title, publication or access date when available, and official source.</w:t>
      </w:r>
    </w:p>
    <w:p w14:paraId="335B91DB"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Cases: court, year, neutral citation and reporter citation when available; otherwise docket, court, year, and official/public source.</w:t>
      </w:r>
    </w:p>
    <w:p w14:paraId="5AF73CE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No Citation = No Claim™: omit the statement or mark “Verification Required” and explain what must be verified.</w:t>
      </w:r>
    </w:p>
    <w:p w14:paraId="59E82230"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REQUIRED SECTION DISCLAIMER (END)</w:t>
      </w:r>
    </w:p>
    <w:p w14:paraId="39747516" w14:textId="77777777" w:rsidR="00756B19" w:rsidRDefault="00F247EE">
      <w:pPr>
        <w:keepLines/>
        <w:spacing w:before="40" w:after="0"/>
        <w:rPr>
          <w:rFonts w:ascii="Courier New" w:hAnsi="Courier New" w:cs="Courier New"/>
          <w:i/>
          <w:color w:val="464646"/>
          <w:sz w:val="22"/>
        </w:rPr>
      </w:pPr>
      <w:r w:rsidRPr="00566B6A">
        <w:rPr>
          <w:rFonts w:ascii="Courier New" w:hAnsi="Courier New" w:cs="Courier New"/>
          <w:i/>
          <w:sz w:val="22"/>
        </w:rPr>
        <w:t>Nothing contained within this section should be interpreted as legal advice, legal representation, or a guarantee of outcome. Consumers remain responsible for their own decisions and actions. Applicable laws, regulations, agency jurisdiction, and judicial interpretations may change over time. This section is provided solely for educational, informational</w:t>
      </w:r>
      <w:r w:rsidRPr="00566B6A">
        <w:rPr>
          <w:rFonts w:ascii="Courier New" w:hAnsi="Courier New" w:cs="Courier New"/>
          <w:i/>
          <w:color w:val="464646"/>
          <w:sz w:val="22"/>
        </w:rPr>
        <w:t>, and procedural self-help purposes.</w:t>
      </w:r>
    </w:p>
    <w:p w14:paraId="5A489BC8" w14:textId="77777777" w:rsidR="00BD7EED" w:rsidRDefault="00BD7EED">
      <w:pPr>
        <w:keepLines/>
        <w:spacing w:before="40" w:after="0"/>
        <w:rPr>
          <w:rFonts w:ascii="Courier New" w:hAnsi="Courier New" w:cs="Courier New"/>
          <w:i/>
          <w:color w:val="464646"/>
          <w:sz w:val="22"/>
        </w:rPr>
      </w:pPr>
    </w:p>
    <w:p w14:paraId="793F004D" w14:textId="77777777" w:rsidR="00BD7EED" w:rsidRDefault="00BD7EED">
      <w:pPr>
        <w:keepLines/>
        <w:spacing w:before="40" w:after="0"/>
        <w:rPr>
          <w:rFonts w:ascii="Courier New" w:hAnsi="Courier New" w:cs="Courier New"/>
          <w:i/>
          <w:color w:val="464646"/>
          <w:sz w:val="22"/>
        </w:rPr>
      </w:pPr>
    </w:p>
    <w:p w14:paraId="4EA59E70" w14:textId="77777777" w:rsidR="00BD7EED" w:rsidRDefault="00BD7EED">
      <w:pPr>
        <w:keepLines/>
        <w:spacing w:before="40" w:after="0"/>
        <w:rPr>
          <w:rFonts w:ascii="Courier New" w:hAnsi="Courier New" w:cs="Courier New"/>
          <w:i/>
          <w:color w:val="464646"/>
          <w:sz w:val="22"/>
        </w:rPr>
      </w:pPr>
    </w:p>
    <w:p w14:paraId="41B72AA8" w14:textId="77777777" w:rsidR="00BD7EED" w:rsidRDefault="00BD7EED">
      <w:pPr>
        <w:keepLines/>
        <w:spacing w:before="40" w:after="0"/>
        <w:rPr>
          <w:rFonts w:ascii="Courier New" w:hAnsi="Courier New" w:cs="Courier New"/>
          <w:i/>
          <w:color w:val="464646"/>
          <w:sz w:val="22"/>
        </w:rPr>
      </w:pPr>
    </w:p>
    <w:p w14:paraId="42B7C716" w14:textId="77777777" w:rsidR="00BD7EED" w:rsidRDefault="00BD7EED">
      <w:pPr>
        <w:keepLines/>
        <w:spacing w:before="40" w:after="0"/>
        <w:rPr>
          <w:rFonts w:ascii="Courier New" w:hAnsi="Courier New" w:cs="Courier New"/>
          <w:i/>
          <w:color w:val="464646"/>
          <w:sz w:val="22"/>
        </w:rPr>
      </w:pPr>
    </w:p>
    <w:p w14:paraId="5C3A8A05" w14:textId="77777777" w:rsidR="00BD7EED" w:rsidRDefault="00BD7EED">
      <w:pPr>
        <w:keepLines/>
        <w:spacing w:before="40" w:after="0"/>
        <w:rPr>
          <w:rFonts w:ascii="Courier New" w:hAnsi="Courier New" w:cs="Courier New"/>
          <w:i/>
          <w:color w:val="464646"/>
          <w:sz w:val="22"/>
        </w:rPr>
      </w:pPr>
    </w:p>
    <w:p w14:paraId="0BEFAA58" w14:textId="77777777" w:rsidR="00BD7EED" w:rsidRDefault="00BD7EED">
      <w:pPr>
        <w:keepLines/>
        <w:spacing w:before="40" w:after="0"/>
        <w:rPr>
          <w:rFonts w:ascii="Courier New" w:hAnsi="Courier New" w:cs="Courier New"/>
          <w:i/>
          <w:color w:val="464646"/>
          <w:sz w:val="22"/>
        </w:rPr>
      </w:pPr>
    </w:p>
    <w:p w14:paraId="72054B27" w14:textId="77777777" w:rsidR="00BD7EED" w:rsidRDefault="00BD7EED">
      <w:pPr>
        <w:keepLines/>
        <w:spacing w:before="40" w:after="0"/>
        <w:rPr>
          <w:rFonts w:ascii="Courier New" w:hAnsi="Courier New" w:cs="Courier New"/>
          <w:i/>
          <w:color w:val="464646"/>
          <w:sz w:val="22"/>
        </w:rPr>
      </w:pPr>
    </w:p>
    <w:p w14:paraId="1C34DB2E" w14:textId="77777777" w:rsidR="00BD7EED" w:rsidRDefault="00BD7EED">
      <w:pPr>
        <w:keepLines/>
        <w:spacing w:before="40" w:after="0"/>
        <w:rPr>
          <w:rFonts w:ascii="Courier New" w:hAnsi="Courier New" w:cs="Courier New"/>
          <w:i/>
          <w:color w:val="464646"/>
          <w:sz w:val="22"/>
        </w:rPr>
      </w:pPr>
    </w:p>
    <w:p w14:paraId="6D976413" w14:textId="77777777" w:rsidR="00BD7EED" w:rsidRDefault="00BD7EED">
      <w:pPr>
        <w:keepLines/>
        <w:spacing w:before="40" w:after="0"/>
        <w:rPr>
          <w:rFonts w:ascii="Courier New" w:hAnsi="Courier New" w:cs="Courier New"/>
          <w:i/>
          <w:color w:val="464646"/>
          <w:sz w:val="22"/>
        </w:rPr>
      </w:pPr>
    </w:p>
    <w:p w14:paraId="372A5196" w14:textId="77777777" w:rsidR="00BD7EED" w:rsidRDefault="00BD7EED">
      <w:pPr>
        <w:keepLines/>
        <w:spacing w:before="40" w:after="0"/>
        <w:rPr>
          <w:rFonts w:ascii="Courier New" w:hAnsi="Courier New" w:cs="Courier New"/>
          <w:i/>
          <w:color w:val="464646"/>
          <w:sz w:val="22"/>
        </w:rPr>
      </w:pPr>
    </w:p>
    <w:p w14:paraId="335C40D1" w14:textId="77777777" w:rsidR="00BD7EED" w:rsidRDefault="00BD7EED">
      <w:pPr>
        <w:keepLines/>
        <w:spacing w:before="40" w:after="0"/>
        <w:rPr>
          <w:rFonts w:ascii="Courier New" w:hAnsi="Courier New" w:cs="Courier New"/>
          <w:i/>
          <w:color w:val="464646"/>
          <w:sz w:val="22"/>
        </w:rPr>
      </w:pPr>
    </w:p>
    <w:p w14:paraId="6FD257A4" w14:textId="77777777" w:rsidR="00BD7EED" w:rsidRDefault="00BD7EED">
      <w:pPr>
        <w:keepLines/>
        <w:spacing w:before="40" w:after="0"/>
        <w:rPr>
          <w:rFonts w:ascii="Courier New" w:hAnsi="Courier New" w:cs="Courier New"/>
          <w:i/>
          <w:color w:val="464646"/>
          <w:sz w:val="22"/>
        </w:rPr>
      </w:pPr>
    </w:p>
    <w:p w14:paraId="6CD0DD27" w14:textId="77777777" w:rsidR="00BD7EED" w:rsidRPr="00566B6A" w:rsidRDefault="00BD7EED">
      <w:pPr>
        <w:keepLines/>
        <w:spacing w:before="40" w:after="0"/>
        <w:rPr>
          <w:rFonts w:ascii="Courier New" w:hAnsi="Courier New" w:cs="Courier New"/>
          <w:sz w:val="22"/>
        </w:rPr>
      </w:pPr>
    </w:p>
    <w:sectPr w:rsidR="00BD7EED" w:rsidRPr="00566B6A" w:rsidSect="00024A47">
      <w:headerReference w:type="default" r:id="rId8"/>
      <w:footerReference w:type="default" r:id="rId9"/>
      <w:pgSz w:w="15840" w:h="12240" w:orient="landscape"/>
      <w:pgMar w:top="1440" w:right="1440" w:bottom="1440" w:left="144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2C1473" w14:textId="77777777" w:rsidR="00F86C43" w:rsidRDefault="00F86C43">
      <w:pPr>
        <w:spacing w:after="0" w:line="240" w:lineRule="auto"/>
      </w:pPr>
      <w:r>
        <w:separator/>
      </w:r>
    </w:p>
  </w:endnote>
  <w:endnote w:type="continuationSeparator" w:id="0">
    <w:p w14:paraId="326F0500" w14:textId="77777777" w:rsidR="00F86C43" w:rsidRDefault="00F86C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132E7" w14:textId="77777777" w:rsidR="00756B19" w:rsidRDefault="00F247EE">
    <w:pPr>
      <w:pStyle w:val="Footer"/>
      <w:jc w:val="center"/>
    </w:pPr>
    <w:r>
      <w:rPr>
        <w:i/>
        <w:color w:val="5A5A5A"/>
        <w:sz w:val="14"/>
      </w:rPr>
      <w:t>Educational and procedural self-help material — not legal advice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3243A3" w14:textId="77777777" w:rsidR="00F86C43" w:rsidRDefault="00F86C43">
      <w:pPr>
        <w:spacing w:after="0" w:line="240" w:lineRule="auto"/>
      </w:pPr>
      <w:r>
        <w:separator/>
      </w:r>
    </w:p>
  </w:footnote>
  <w:footnote w:type="continuationSeparator" w:id="0">
    <w:p w14:paraId="168D6DBB" w14:textId="77777777" w:rsidR="00F86C43" w:rsidRDefault="00F86C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40026" w14:textId="77777777" w:rsidR="00756B19" w:rsidRDefault="00F247EE">
    <w:pPr>
      <w:pStyle w:val="Header"/>
      <w:jc w:val="right"/>
    </w:pPr>
    <w:r>
      <w:rPr>
        <w:b/>
        <w:color w:val="505050"/>
        <w:sz w:val="15"/>
      </w:rPr>
      <w:t>GLADIC AI™ — SECTION 3A | CALIFORNIA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4968295">
    <w:abstractNumId w:val="8"/>
  </w:num>
  <w:num w:numId="2" w16cid:durableId="587035469">
    <w:abstractNumId w:val="6"/>
  </w:num>
  <w:num w:numId="3" w16cid:durableId="1436708472">
    <w:abstractNumId w:val="5"/>
  </w:num>
  <w:num w:numId="4" w16cid:durableId="1789540790">
    <w:abstractNumId w:val="4"/>
  </w:num>
  <w:num w:numId="5" w16cid:durableId="1384210192">
    <w:abstractNumId w:val="7"/>
  </w:num>
  <w:num w:numId="6" w16cid:durableId="1391731214">
    <w:abstractNumId w:val="3"/>
  </w:num>
  <w:num w:numId="7" w16cid:durableId="1612858173">
    <w:abstractNumId w:val="2"/>
  </w:num>
  <w:num w:numId="8" w16cid:durableId="1642072394">
    <w:abstractNumId w:val="1"/>
  </w:num>
  <w:num w:numId="9" w16cid:durableId="1422993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4A47"/>
    <w:rsid w:val="00034616"/>
    <w:rsid w:val="0006063C"/>
    <w:rsid w:val="000C26BB"/>
    <w:rsid w:val="0015074B"/>
    <w:rsid w:val="0029639D"/>
    <w:rsid w:val="00326F90"/>
    <w:rsid w:val="00463F22"/>
    <w:rsid w:val="00566B6A"/>
    <w:rsid w:val="00655F05"/>
    <w:rsid w:val="006F27AD"/>
    <w:rsid w:val="00736F61"/>
    <w:rsid w:val="00756B19"/>
    <w:rsid w:val="00964317"/>
    <w:rsid w:val="00A44C60"/>
    <w:rsid w:val="00AA1D8D"/>
    <w:rsid w:val="00B47730"/>
    <w:rsid w:val="00BD7EED"/>
    <w:rsid w:val="00CB0664"/>
    <w:rsid w:val="00F247EE"/>
    <w:rsid w:val="00F86C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250A26"/>
  <w14:defaultImageDpi w14:val="300"/>
  <w15:docId w15:val="{5EEB66F3-E441-4F2E-A330-5A737E432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52" w:lineRule="auto"/>
    </w:pPr>
    <w:rPr>
      <w:rFonts w:ascii="Arial" w:eastAsia="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4518</Words>
  <Characters>25759</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Section 3A — Wyoming Laws and Federal FCRA Personal Information Corrections</vt:lpstr>
    </vt:vector>
  </TitlesOfParts>
  <Manager/>
  <Company/>
  <LinksUpToDate>false</LinksUpToDate>
  <CharactersWithSpaces>30217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3A — Wyoming Laws and Federal FCRA Personal Information Corrections</dc:title>
  <dc:subject>Wyoming consumer protection, federal FCRA, inaccurate address, employment, and contact information</dc:subject>
  <dc:creator>GLADIC AI™</dc:creator>
  <cp:keywords>Wyoming, consumer protection, WCPA, FCRA, debt collection, security freeze, case law</cp:keywords>
  <dc:description>Educational and procedural self-help material.</dc:description>
  <cp:lastModifiedBy>Louis Lewis</cp:lastModifiedBy>
  <cp:revision>2</cp:revision>
  <dcterms:created xsi:type="dcterms:W3CDTF">2026-07-24T00:07:00Z</dcterms:created>
  <dcterms:modified xsi:type="dcterms:W3CDTF">2026-07-24T00:07:00Z</dcterms:modified>
  <cp:category/>
</cp:coreProperties>
</file>