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Colorado (CO)</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Colorado Consumer Protection Act (CCPA)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C.R.S. §§ 6-1-101 through 6-1-115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listed unfair or deceptive trade practices occurring in the course of a person’s business, vocation, or occupation. A qualifying private claim generally requires an unfair or deceptive practice, business context, significant public impact, injury to a legally protected interest, and causation.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C.R.S. § 6-1-113, qualifying private relief may include the greater of actual damages with statutory prejudgment interest or $500, or three times actual damages when bad-faith conduct is proved by clear and convincing evidence, plus costs and reasonable attorney fees. The Attorney General or a district attorney may seek injunctions, restitution, civil penalties, and other relief authorized by the Act.</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to qualifying actual or potential consumers, successors in interest, and persons injured in the course of business or occupation under C.R.S. § 6-1-113. A private claimant should document the deceptive practice, business context, significant public impact, injury, causation, damages, and timing. Actions generally must be commenced within three years under C.R.S. § 6-1-115; a one-year extension may apply when qualifying conduct induced delay.</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Colorado Attorney General and district attorneys — Consumer Protection Section; concurrent enforcement authority under C.R.S. § 6-1-103. A public enforcement action does not require proof of significant public impact.</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Colorado Fair Debt Collection Practices Act (CFDCPA), collection-agency licensing requirements, and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The CFDCPA regulates qualifying debt collectors and collection agencies and restricts harassment, misleading representations, unfair practices, unauthorized third-party communications, defective validation notices, and other collection conduct. It generally does not apply to creditors collecting their own debts. The federal FDCPA may apply separately.</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C.R.S. §§ 5-16-101 through 5-16-135;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Colorado Attorney General — Consumer Credit Unit and CFDCPA Administrator;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Colorado maintains the Colorado Consumer Credit Reporting Act at C.R.S. §§ 5-18-101 through 5-18-118. It addresses permissible use, disclosures, maximum possible accuracy, reinvestigation, identity-theft blocking, security freezes, court or arbitration procedures, and statutory liability, while federal FCRA requirements and preemption remain controlling for overlapping duties.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Colorado consumers may request placement, temporary lifting, or removal of a security freeze under C.R.S. §§ 5-18-112 through 5-18-115. Protected-consumer freezes are addressed in § 5-18-112.5.</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the Colorado Consumer Credit Reporting Act and may use Colorado dispute, blocking, security-freeze, and protected-consumer procedures to control or correct specified credit-file information.</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C.R.S. §§ 5-18-105 and 5-18-110 require maximum-possible-accuracy procedures and reasonable reinvestigation of disputed information. Inaccurate, incomplete, or unverifiable addresses, telephone numbers, employer entries, and other personal identifiers may also be disputed directly with the consumer reporting agency under 15 U.S.C. § 1681i. Colorado claims should be evaluated for FCRA preemption and statutory procedural requirements.</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and blocking: Federal fraud-alert rights remain primary. Colorado supplements identity restoration through C.R.S. § 5-18-111, which provides procedures for blocking unauthorized information supported by a police report or certified court order, and through Colorado’s criminal identity-theft statute.</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Remedies: C.R.S. § 5-18-117 provides specified damages, attorney fees, and costs for qualifying willful or negligent violations, including failures involving security freezes, inaccurate </w:t>
      </w:r>
      <w:r w:rsidRPr="00566B6A">
        <w:rPr>
          <w:rFonts w:ascii="Courier New" w:hAnsi="Courier New" w:cs="Courier New"/>
          <w:bCs/>
          <w:sz w:val="22"/>
        </w:rPr>
        <w:lastRenderedPageBreak/>
        <w:t>disputed entries, or identity-theft blocking. Sections 5-18-116 through 5-18-118 address court or arbitration procedures, violations, and cumulative remedies.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C.R.S. § 18-5-902 criminalizes specified knowing uses of another person’s personal or financial identifying information, financial device, or checking-account information without permission or lawful authority to obtain value, make a financial payment, or facilitate further identity theft.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Consumer-report blocking: A consumer who alleges unauthorized credit activity may submit a qualifying police report or certified court order to a consumer reporting agency under C.R.S. § 5-18-111 and request that the disputed information be blocked, subject to the statute’s verification and unblocking procedures.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Restoration: Restoration may involve fraud alerts, security freezes, creditor notifications, police or FTC identity-theft reports, court orders, Colorado information-block requests,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exact disputed entries, bureau submissions,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C.R.S. § 6-1-716 requires covered entities to investigate qualifying security incidents and notify affected Colorado residents in the most expedient time possible and without unreasonable delay, generally no later than thirty days after determining that a breach occurred, subject to statutory exceptions and law-enforcement delay.</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Related provisions: C.R.S. §§ 6-1-713 and 6-1-713.5 address disposal of personal identifying information and reasonable security practices. Colorado’s broader privacy framework includes the Colorado Privacy Act, C.R.S. §§ 6-1-1301 through 6-1-1313, subject to coverage thresholds and exemptions.</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The Colorado Privacy Act may provide qualifying residents with rights concerning access, correction, deletion, data portability, and specified opt-outs. Its scope, exemptions, cure provisions, and Attorney General enforcement should be evaluated separately from FCRA and credit-reporting claims.</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breach-investigation records, affected data elements, notice content, delivery dates, law-enforcement delay requests, Attorney General notice, nationwide-CRA notice when required,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Colorado Attorney General: Consumer Protection Section — complaint intake, investigation, consumer education, CCPA enforcement, and technology/privacy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Colorado Attorney General — Consumer Credit Unit: Collection-agency licensing, complaint review, investigation, disciplinary action, and administration of the CFDCPA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Colorado Division of Banking: Complaint pathway for Colorado-chartered banks, trust companies, and other institutions within the Division’s supervisory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Colorado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6-1-101–115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CCPA — unfair or deceptive business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plus interest or $500; treble actual damages for bad faith; fees; public injunction,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business context; public impact; injury; causation; damages; three-year chronology</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5-16-101–135</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CFDCPA — collection-agency licensing, notices, communications, validation, and conduct</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up to $1,000 additional individual damages; fees and costs; administrative remedies</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full letter; envelope; call logs; dispute; verification;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5-18-101–118</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credit reporting, accuracy, disputes, blocking, freezes, and protected consumers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Correction or block; statutory damages; post-judgment daily damages; fees and costs where authorized</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pages; source records; dispute proof; police report; freeze, block, and reinvestigation results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6-1-713, 6-1-713.5, 6-1-716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Personal-information disposal, security practices, and breach notification</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 action, compliance relief, and direct economic damages as authorized</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Incident findings; affected data; resident and AG notices; CRA notice;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18-5-902; § 5-18-111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consumer-report information blocking</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blocking, correction, and identity-restoration procedures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exact entries; creditor and bureau notices; block decision</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Colorado AG —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complaints, CCPA enforcement, education, and privacy/data security</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injunction, restitution,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Colorado AG — Consumer Credit Unit /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Licensed collectors, consumer-credit businesses, and state-chartered institutions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investigation, discipline, or supervisory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response; entity and ownership records</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Colorado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Direct-furnisher dispute exception for identifying information, addresses, telephone </w:t>
            </w:r>
            <w:r w:rsidRPr="00566B6A">
              <w:rPr>
                <w:rFonts w:ascii="Courier New" w:hAnsi="Courier New" w:cs="Courier New"/>
                <w:sz w:val="22"/>
              </w:rPr>
              <w:lastRenderedPageBreak/>
              <w:t>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Routes the primary identifying-information dispute to the consumer reporting agency; CRA-to-furnisher duties may </w:t>
            </w:r>
            <w:r w:rsidRPr="00566B6A">
              <w:rPr>
                <w:rFonts w:ascii="Courier New" w:hAnsi="Courier New" w:cs="Courier New"/>
                <w:sz w:val="22"/>
              </w:rPr>
              <w:lastRenderedPageBreak/>
              <w:t>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Colorado (CO)</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Flood applies the Colorado Fair Debt Collection Practices Act provisions as then codified in former title 12; the Act was later relocated to C.R.S. §§ 5-16-101 through 5-16-135. The case should be used for its notice and least-sophisticated-consumer analysis, not as a conclusion that every collection communication violates current law.</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Hall v. Walter</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969 P.2d 224</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CCPA claim: deceptive practice, business context, significant public impact, injury to a legally protected interest, and causation.</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each element separately, including evidence of impact on actual or potential consumers and a direct injury chronology.</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Rhino Linings USA, Inc. v. Rocky Mountain Rhino Lining,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 P.3d 142</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private contract dispute was not actionable under the CCPA where no deceptive factual statement or significant public impact was shown; identified factors for evaluating public impact.</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contract breach from consumer deception; document affected consumers, bargaining power, prior impact, and future potential.</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Flood v. Mercantile Adjustment Bureau, LLC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176 P.3d 769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least-sophisticated-consumer standard and held that a contradictory collection letter failed to convey Colorado validation rights effectively; automated mailing alone was not prohibited third-party contact.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complete letter, print size, placement, deadlines, call invitation, written-dispute language, mailing method, and resulting harm.</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Hall v. Walter</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969 P.2d 224</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CCPA claim: deceptive practice, business context, significant public impact, injury to a legally protected interest, and causation.</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each element separately, including evidence of impact on actual or potential consumers and a direct injury chronology.</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Rhino Linings USA, Inc. v. Rocky Mountain Rhino Lining,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 P.3d 142</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private contract dispute was not actionable under the CCPA where no deceptive factual statement or significant public impact was shown; identified factors for evaluating public impact.</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contract breach from consumer deception; document affected consumers, bargaining power, prior impact, and future potential.</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Flood v. Mercantile Adjustment Bureau, LLC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176 P.3d 769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least-sophisticated-consumer standard and held that a contradictory collection letter failed to convey Colorado validation rights effectively; automated mailing alone was not prohibited third-party contact.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complete letter, print size, placement, deadlines, call invitation, written-dispute language, mailing method, and resulting harm.</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Colorado Consumer Credit Reporting Act claims that duplicate or conflict with federal duties may be preemption-sensitive; claim-specific analysis is required.</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Colorado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5-18-105, 5-18-110, 5-18-117</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federal and Colorado dispute records; identify the exact state provision and analyze express FCRA preemption before pleading.</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Colorado law only where specifically preserved or factually distinct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bureau-dispute notice evidence; avoid duplicative state furnishing theories without authority.</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18-5-902; § 5-18-111</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 and FTC reports, exact unauthorized entries, block requests, CRA decisions, and federal blocking submissions.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5-16-101–135;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Credit Unit or CFPB complaint; preserve full communications, validation rights, disputes, license data, and amounts.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5-18-112–115, 5-18-117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lift or removal requests, access history, official-information changes, notice, and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C.R.S. §§ 6-1-713, 6-1-713.5, 6-1-716; Colorado Privacy Act</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investigation findings, affected data, notices, dates, AG submission, CRA notice, privacy requests,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CCPA, C.R.S. §§ 6-1-101–115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deceptive practice, business context, public impact, injury, causation, damages, and three-year chronology.</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deceptive collection communications, security-freeze violations, data-breach duties, privacy conduct, and CCPA deception that does not merely restate federal CRA or furnisher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Colorado claims that attempt to impose CRA or furnisher accuracy, reinvestigation, blocking, or reporting duties parallel to the FCRA without identifying preserved state authority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Colorado complaint with the Attorney General’s Consumer Protection Section, Consumer Credit Unit, or Division of Banking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lastRenderedPageBreak/>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Colorado AG / Consumer Credit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CCPA practice, public-impact, injury, damages, and limitations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practice; business context; public impact; injury; causation; damages; three-year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Colorado CCPA element and limitations review when a deceptive business practice, significant public impact, injury, causation, damages, and three-year timing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validation-notice, communication, and one-year limitations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Colorado (CO)</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Consumer Protection Act (CCPA) | </w:t>
      </w:r>
      <w:r w:rsidRPr="00566B6A">
        <w:rPr>
          <w:rFonts w:ascii="Courier New" w:hAnsi="Courier New" w:cs="Courier New"/>
          <w:sz w:val="22"/>
        </w:rPr>
        <w:t>C.R.S. §§ 6-1-101 through 6-1-115 | Remedies: actual damages with interest or $500, whichever is greater; treble actual damages for bad-faith conduct; costs and attorney fees; public injunction, restitution, and penalties. | Authority: Colorado Attorney General / district attorneys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Fair Debt Collection Practices Act (CFDCPA) | </w:t>
      </w:r>
      <w:r w:rsidRPr="00566B6A">
        <w:rPr>
          <w:rFonts w:ascii="Courier New" w:hAnsi="Courier New" w:cs="Courier New"/>
          <w:sz w:val="22"/>
        </w:rPr>
        <w:t>C.R.S. §§ 5-16-101 through 5-16-135 | Remedies: actual damages, up to $1,000 additional individual damages, costs, and attorney fees for qualifying claims; administrative enforcement and licensing remedies; one-year private-action period. | Authority: Colorado Attorney General — Consumer Credit Unit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Consumer Credit Reporting Act | </w:t>
      </w:r>
      <w:r w:rsidRPr="00566B6A">
        <w:rPr>
          <w:rFonts w:ascii="Courier New" w:hAnsi="Courier New" w:cs="Courier New"/>
          <w:sz w:val="22"/>
        </w:rPr>
        <w:t>C.R.S. §§ 5-18-101 through 5-18-118 | Remedies: disclosure, reinvestigation, correction, identity-theft blocking, freezes, court or arbitration procedures, statutory damages, costs, and attorney fees where authorized.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Data Security and Breach Notification Law | </w:t>
      </w:r>
      <w:r w:rsidRPr="00566B6A">
        <w:rPr>
          <w:rFonts w:ascii="Courier New" w:hAnsi="Courier New" w:cs="Courier New"/>
          <w:sz w:val="22"/>
        </w:rPr>
        <w:t>C.R.S. §§ 6-1-713, 6-1-713.5, and 6-1-716 | Remedies: Attorney General action in law or equity, compliance relief, and direct economic damages as authorized; required investigation and notice procedures. | Authority: Colorado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Identity-Theft and Consumer-Report Blocking Provisions | </w:t>
      </w:r>
      <w:r w:rsidRPr="00566B6A">
        <w:rPr>
          <w:rFonts w:ascii="Courier New" w:hAnsi="Courier New" w:cs="Courier New"/>
          <w:sz w:val="22"/>
        </w:rPr>
        <w:t>C.R.S. § 18-5-902 and § 5-18-111 | Remedies: criminal penalties, police or court documentation, information blocking, correction, and identity-restoration procedures where statutory requirements are met. | Authority: law enforcement / courts / CRAs.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Fair Debt Collection Practices Act Rules — </w:t>
      </w:r>
      <w:r w:rsidRPr="00566B6A">
        <w:rPr>
          <w:rFonts w:ascii="Courier New" w:hAnsi="Courier New" w:cs="Courier New"/>
          <w:sz w:val="22"/>
        </w:rPr>
        <w:t>4 CCR 903-1 governs collection-agency licensing, notices, collection costs, records, communications, and conduct. Verify the current rule and section before filing or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Attorney General — Consumer Protection Section: </w:t>
      </w:r>
      <w:r w:rsidRPr="00566B6A">
        <w:rPr>
          <w:rFonts w:ascii="Courier New" w:hAnsi="Courier New" w:cs="Courier New"/>
          <w:sz w:val="22"/>
        </w:rPr>
        <w:t>consumer complaint intake, consumer education, CCPA enforcement, and privacy/data-security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Colorado Attorney General — Consumer Credit Unit, Collection Agency Program: </w:t>
      </w:r>
      <w:r w:rsidRPr="00566B6A">
        <w:rPr>
          <w:rFonts w:ascii="Courier New" w:hAnsi="Courier New" w:cs="Courier New"/>
          <w:sz w:val="22"/>
        </w:rPr>
        <w:t>complaint procedures, license lookup, investigation, and CFDCPA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Colorado Division of Banking: </w:t>
      </w:r>
      <w:r w:rsidRPr="00566B6A">
        <w:rPr>
          <w:rFonts w:ascii="Courier New" w:hAnsi="Courier New" w:cs="Courier New"/>
          <w:sz w:val="22"/>
        </w:rPr>
        <w:t>consumer complaint pathway for state-chartered financial institutions within its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Colorado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Hall v. Walter</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969 P.2d 224</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Established the five elements of a private CCPA claim: deceptive practice, business context, significant public impact, injury to a legally protected interest, and causation.</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each element separately, including evidence of impact on actual or potential consumers and a direct injury chronology.</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Rhino Linings USA, Inc. v. Rocky Mountain Rhino Lining,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62 P.3d 142</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private contract dispute was not actionable under the CCPA where no deceptive factual statement or significant public impact was shown; identified factors for evaluating public impact.</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contract breach from consumer deception; document affected consumers, bargaining power, prior impact, and future potential.</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Flood v. Mercantile Adjustment Bureau, LLC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Colo.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176 P.3d 769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the least-sophisticated-consumer standard and held that a contradictory collection letter failed to convey Colorado validation rights effectively; automated mailing alone was not prohibited third-party contact.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complete letter, print size, placement, deadlines, call invitation, written-dispute language, mailing method, and resulting harm.</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TK-Authority-2026-07-CO</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Jurisdiction Filters Applied:</w:t>
      </w:r>
      <w:r w:rsidRPr="00566B6A">
        <w:rPr>
          <w:rFonts w:ascii="Courier New" w:hAnsi="Courier New" w:cs="Courier New"/>
          <w:sz w:val="22"/>
        </w:rPr>
        <w:t xml:space="preserve"> Federal + CO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Colorado statutory references in this version were checked against the Colorado General Assembly’s 2025 C.R.S. publications and current Colorado Attorney General materials. Federal FCRA authorities were checked against current U.S. Code and Regulation V materials available on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Colorado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Colorado Code of Regulations citation by department, division, rule set,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3C6DA" w14:textId="77777777" w:rsidR="00E349E2" w:rsidRDefault="00E349E2">
      <w:pPr>
        <w:spacing w:after="0" w:line="240" w:lineRule="auto"/>
      </w:pPr>
      <w:r>
        <w:separator/>
      </w:r>
    </w:p>
  </w:endnote>
  <w:endnote w:type="continuationSeparator" w:id="0">
    <w:p w14:paraId="36D8B2B8" w14:textId="77777777" w:rsidR="00E349E2" w:rsidRDefault="00E34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9FF5A" w14:textId="77777777" w:rsidR="00E349E2" w:rsidRDefault="00E349E2">
      <w:pPr>
        <w:spacing w:after="0" w:line="240" w:lineRule="auto"/>
      </w:pPr>
      <w:r>
        <w:separator/>
      </w:r>
    </w:p>
  </w:footnote>
  <w:footnote w:type="continuationSeparator" w:id="0">
    <w:p w14:paraId="1E8A34FC" w14:textId="77777777" w:rsidR="00E349E2" w:rsidRDefault="00E34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COLORADO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8080D"/>
    <w:rsid w:val="000C26B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E349E2"/>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4714</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31527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2026-07-24T00:28:00Z</dcterms:created>
  <dcterms:modified xsi:type="dcterms:W3CDTF">2026-07-24T00:28:00Z</dcterms:modified>
  <cp:category/>
</cp:coreProperties>
</file>