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Connecticut (CT)</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Connecticut Unfair Trade Practices Act (CUTPA)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Conn. Gen. Stat. §§ 42-110a through 42-110q</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methods of competition and unfair or deceptive acts or practices in trade or commerce. Deceptive-practice analysis considers whether the conduct is likely to mislead consumers acting reasonably.</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consumer with an ascertainable loss may seek actual damages under § 42-110g. Qualifying relief may include punitive damages, costs, attorney’s fees, injunctions, and other equitable relief. Public enforcement may include restitution and civil penalties.</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Expressly authorized by § 42-110g. Document an unfair or deceptive trade practice, ascertainable loss, and causation. Actions generally must be brought within three years after the violation under § 42-110g(f).</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Under § 42-110m, the Attorney General may seek injunctions, restitution, receivership, and equitable relief at the Commissioner of Consumer Protection’s request.</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activity present — determine whether the actor is a creditor, assignee, consumer collection agency, debt buyer, or other collector before selecting the governing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 36a-645–648 regulate abusive, harassing, fraudulent, deceptive, or misleading collection by covered creditors. Consumer collection agencies are separately regulated under §§ 36a-800 et seq.; the federal FDCPA may also apply.</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Conn. Gen. Stat. §§ 36a-645–648; §§ 36a-800–814 where applicable; 15 U.S.C. §§ 1692–1692p.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Connecticut Department of Banking; Department of Consumer Protection; Attorney General; CFPB and FTC where applicable.</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Connecticut consumer-credit-report provisions at §§ 36a-695–701a address disclosures, disputes, identity-theft blocking, and freezes. Federal FCRA procedures remain the primary nationwide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Consumers may place, lift, or remove a freeze under §§ 36a-701 and 36a-701a, including procedures for minor children.</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use federal and Connecticut file-disclosure rights and state security-freeze procedures.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Dispute inaccurate, incomplete, or unverifiable file information under 15 U.S.C. § 1681i and, where applicable, Conn. Gen. Stat. § 36a-699b. Evaluate state claims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Federal fraud-alert rights are supplemented by Connecticut freezes, identity-theft blocking under § 36a-699f, and criminal identity-theft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Identify the exact Connecticut section, regulated actor, requested correction or freeze relief, and any nonpreempted state-law basis.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 53a-129a defines identity theft as knowingly using another person’s identifying information without authorization to obtain or attempt to obtain money, credit, property, services, medical information, or another benefit.</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Credit-file blocking: § 36a-699f provides a state blocking procedure for identity-theft information; 15 U.S.C. § 1681c-2 may also apply.</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Use police and FTC reports, alerts, freezes, creditor notices, blocking requests, and documented bureau disputes.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Preserve police/FTC reports, freeze and block confirmations, creditor notices, court records, and agency complaint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 36a-701b generally requires notice to affected Connecticut residents without unreasonable delay and not later than sixty days after discovery, subject to statutory exceptions and law-enforcement delay.</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Consumer-report and freeze provisions are at §§ 36a-695–701a; breach notification is at § 36a-701b.</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Additional Connecticut privacy laws may apply; this module is limited to the listed authorities.</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investigation findings, affected data, notices, delivery dates, AG notice, mitigation offers, and remediation records.</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Connecticut Attorney General / Department of Consumer Protection: CUTPA intake, investigation, restitution, injunction, and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Connecticut Department of Banking: Oversight of covered creditors, collection agencies, credit-report matters, and regulated financial entities.</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pathways may supplement state intake where federal law applies.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Connecticut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Gen. Stat. §§ 42-110a–110q</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CUTPA — unfair or deceptive trade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Actual/punitive damages, fees, injunction; public restitution and penalties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Practice; commerce; ascertainable loss; causation; remedy; three-year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Gen. Stat. §§ 36a-645–648</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Covered-creditor collection practices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up to $1,000 additional; costs/fees; one-year period</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Actor status; communications; ledger; dispute; intent; timing</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Gen. Stat. §§ 36a-695–701a</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Credit reports, disputes, blocking, and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Disclosure, correction, blocking, freeze, and regulator relief</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Report; identity proof; dispute/source records; block/freeze response</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Gen. Stat. § 36a-701b</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notice and mitigation</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enforcement as CUTPA violation; statutory compliance</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AG notice; mitigation and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Gen. Stat. § 53a-129a; § 36a-699f</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credit-file blocking</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and blocking/restoration procedures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bureau and creditor notices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CT AG / Department of Consumer Protection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CUTPA complaint intake and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compliance, injunction, restitution, or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response; correspondence;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Connecticut Department of Banking</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Creditors, collectors, credit reports,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licensing, examination, referral, and administrative action</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License/regulator lookup; complaint file; agency response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Connecticut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Connecticut (CT)</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Jacobs concerns repossession and cumulative statutory remedies; it should not be described as establishing liability under the later-enacted § 36a-648 private remedy.</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Hinchliffe v. American Motors Corp.</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1981</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184 Conn. 607, 440 A.2d 810</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CUTPA ascertainable loss does not require a specific dollar amount. A measurable loss may exist when the consumer receives something materially different from what was represented.</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transaction, difference between promised and received, and measurable loss.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Artie’s Auto Body, Inc. v. Hartford Fire Ins. Co.</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287 Conn. 208, 947 A.2d 320</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CUTPA claimant must prove an unfair or deceptive practice and an ascertainable loss caused by it; loss is broader than fixed actual damages.</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proof of the practice, loss, and causation; preserve policies, records, communications, and claimant-specific evidence.</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Jacobs v. Healey Ford-Subaru,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1995</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231 Conn. 707, 652 A.2d 496</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Cumulative statutory remedies applied to unlawful repossession and resale because the governing remedies were not expressly exclusive.</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agreement, default and repossession notices, sale records, accounting, deficiency calculation, and each remedy requested.</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Hinchliffe v. American Motors Corp.</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1981</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184 Conn. 607, 440 A.2d 810</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CUTPA ascertainable loss does not require a specific dollar amount. A measurable loss may exist when the consumer receives something materially different from what was represented.</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transaction, difference between promised and received, and measurable loss.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Artie’s Auto Body, Inc. v. Hartford Fire Ins. Co.</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287 Conn. 208, 947 A.2d 320</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CUTPA claimant must prove an unfair or deceptive practice and an ascertainable loss caused by it; loss is broader than fixed actual damages.</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proof of the practice, loss, and causation; preserve policies, records, communications, and claimant-specific evidence.</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Jacobs v. Healey Ford-Subaru,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1995</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231 Conn. 707, 652 A.2d 496</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Cumulative statutory remedies applied to unlawful repossession and resale because the governing remedies were not expressly exclusive.</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agreement, default and repossession notices, sale records, accounting, deficiency calculation, and each remedy requested.</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accuracy, reinvestigation, dispute processing, and reporting. Parallel Connecticut theories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Connecticut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Gen. Stat. §§ 36a-695–701a; FCRA</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federal and state dispute records; identify the exact preserved provision before pleading.</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distinct CT conduct only</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 1681s-2 and bureau-notice records; avoid unsupported parallel duties.</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 53a-129a; § 36a-699f</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police/FTC reports, fraudulent items, block requests, CRA notices, and decisions.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 36a-645–648; §§ 36a-800 et seq.;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Classify the actor; preserve communications, disputes, records, licensing, and one-year timing.</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 36a-701–701a</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disclosure history, lift/removal requests, refusal notice, and harm.</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 36a-701b</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findings, resident/AG notices, affected data, dates, mitigation offers, and correspondence.</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CUTPA, §§ 42-110a–110q</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the practice, ascertainable loss, causation, remedy, and three-year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 theft, distinct collection communications, freeze violations, breach duties, and CUTPA conduct separate from CRA or furnisher reporting.</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Connecticut claims imposing duties parallel to the FCRA without preserved state authority or distinct conduct.</w:t>
      </w:r>
      <w:r w:rsidRPr="00566B6A">
        <w:rPr>
          <w:rFonts w:ascii="Courier New" w:hAnsi="Courier New" w:cs="Courier New"/>
          <w:sz w:val="22"/>
        </w:rPr>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lastRenderedPageBreak/>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with the Connecticut Attorney General or Department of Consumer Protection for CUTPA matters, or the Department of Banking for covered collection, credit-report, or financial-entity issues;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Connecticut AG / DCP / Department of Banking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CUTPA practice, ascertainable-loss, causation, and remedy evidence</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Unfair or deceptive practice, trade or commerce, ascertainable loss, causation, remedy, and three-year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Connecticut CUTPA ascertainable-loss, causation, remedy, and three-year limitations review</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Collector classification, Department of Banking jurisdiction, and one-year collection-claim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Connecticut (CT)</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Connecticut Unfair Trade Practices Act (CUTPA) | </w:t>
      </w:r>
      <w:r w:rsidRPr="00566B6A">
        <w:rPr>
          <w:rFonts w:ascii="Courier New" w:hAnsi="Courier New" w:cs="Courier New"/>
          <w:sz w:val="22"/>
        </w:rPr>
        <w:t>Conn. Gen. Stat. §§ 42-110a–110q | Remedies: actual and punitive damages, costs, fees, and equitable relief where authorized; public injunction, restitution, and civil penalties. | Authority: DCP /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Connecticut Creditors’ Collection Practices Act | </w:t>
      </w:r>
      <w:r w:rsidRPr="00566B6A">
        <w:rPr>
          <w:rFonts w:ascii="Courier New" w:hAnsi="Courier New" w:cs="Courier New"/>
          <w:sz w:val="22"/>
        </w:rPr>
        <w:t>Conn. Gen. Stat. §§ 36a-645–648 | Remedies: actual damages, up to $1,000 additional damages, costs, discretionary fees, one-year period, and bona fide error defense. | Authority: Department of Banking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Connecticut Consumer Credit Reports and Security-Freezes | </w:t>
      </w:r>
      <w:r w:rsidRPr="00566B6A">
        <w:rPr>
          <w:rFonts w:ascii="Courier New" w:hAnsi="Courier New" w:cs="Courier New"/>
          <w:sz w:val="22"/>
        </w:rPr>
        <w:t>Conn. Gen. Stat. §§ 36a-695–701a | Remedies: disclosure, dispute, correction, identity-theft blocking, and freeze procedures. | Authority: Department of Banking / courts / CRAs.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Connecticut Security Breach Notification Law | </w:t>
      </w:r>
      <w:r w:rsidRPr="00566B6A">
        <w:rPr>
          <w:rFonts w:ascii="Courier New" w:hAnsi="Courier New" w:cs="Courier New"/>
          <w:sz w:val="22"/>
        </w:rPr>
        <w:t>Conn. Gen. Stat. § 36a-701b | Remedies: resident and AG notice, required mitigation services, and AG enforcement as a CUTPA violation. | Authority: Attorney General / Department of Banking.</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Connecticut Identity-Theft and Credit-File Blocking | </w:t>
      </w:r>
      <w:r w:rsidRPr="00566B6A">
        <w:rPr>
          <w:rFonts w:ascii="Courier New" w:hAnsi="Courier New" w:cs="Courier New"/>
          <w:sz w:val="22"/>
        </w:rPr>
        <w:t>Conn. Gen. Stat. §§ 53a-129a–129d and § 36a-699f | Remedies: criminal penalties, credit-file blocking, and restoration procedures. | Authority: law enforcement / courts / CRAs.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Connecticut Creditors’ Collection Practices Regulations — </w:t>
      </w:r>
      <w:r w:rsidRPr="00566B6A">
        <w:rPr>
          <w:rFonts w:ascii="Courier New" w:hAnsi="Courier New" w:cs="Courier New"/>
          <w:sz w:val="22"/>
        </w:rPr>
        <w:t>consult current Department of Banking regulations adopted under § 36a-647; verify the exact effective text before use.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Connecticut Attorney General / Department of Consumer Protection: </w:t>
      </w:r>
      <w:r w:rsidRPr="00566B6A">
        <w:rPr>
          <w:rFonts w:ascii="Courier New" w:hAnsi="Courier New" w:cs="Courier New"/>
          <w:sz w:val="22"/>
        </w:rPr>
        <w:t>CUTPA intake, education, restitution, injunction, and enforcement.</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Connecticut Department of Banking: </w:t>
      </w:r>
      <w:r w:rsidRPr="00566B6A">
        <w:rPr>
          <w:rFonts w:ascii="Courier New" w:hAnsi="Courier New" w:cs="Courier New"/>
          <w:sz w:val="22"/>
        </w:rPr>
        <w:t>credit-report, creditor-collection, collection-agency, and financial-entity complaints and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Connecticut Department of Banking identity-theft resources: </w:t>
      </w:r>
      <w:r w:rsidRPr="00566B6A">
        <w:rPr>
          <w:rFonts w:ascii="Courier New" w:hAnsi="Courier New" w:cs="Courier New"/>
          <w:sz w:val="22"/>
        </w:rPr>
        <w:t>consumer assistance and referrals for reporting, collection, and data-security issues.</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controlling for credit-report disputes; none are identified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Hinchliffe v. American Motors Corp.</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1981</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184 Conn. 607, 440 A.2d 810</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CUTPA ascertainable loss does not require a specific dollar amount. A measurable loss may exist when the consumer receives something materially different from what was represented.</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transaction, difference between promised and received, and measurable loss.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Artie’s Auto Body, Inc. v. Hartford Fire Ins. Co.</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287 Conn. 208, 947 A.2d 320</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CUTPA claimant must prove an unfair or deceptive practice and an ascertainable loss caused by it; loss is broader than fixed actual damages.</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proof of the practice, loss, and causation; preserve policies, records, communications, and claimant-specific evidence.</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Jacobs v. Healey Ford-Subaru,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Conn.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1995</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231 Conn. 707, 652 A.2d 496</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Cumulative statutory remedies applied to unlawful repossession and resale because the governing remedies were not expressly exclusive.</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agreement, default and repossession notices, sale records, accounting, deficiency calculation, and each remedy requested.</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TK-Authority-2026-07-CT</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CT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before use. Connecticut statutes were checked against current General Assembly and agency materials; federal authorities against current U.S. Code and Regulation V materials available July 23,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authority library to identify federal and Connecticut consumer-protection authorities. Laws and interpretations may change. This material is educational only and is not legal advice or representation.</w:t>
      </w:r>
    </w:p>
    <w:p w14:paraId="786B72ED" w14:textId="77777777" w:rsidR="00756B19" w:rsidRPr="00566B6A" w:rsidRDefault="00F247EE">
      <w:pPr>
        <w:pStyle w:val="Heading1"/>
        <w:pageBreakBefore/>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Regulations of Connecticut State Agencies citation by agency, section, and subsection.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p>
      <w:pPr>
        <w:pageBreakBefore/>
      </w:pPr>
      <w:r>
        <w:rPr>
          <w:color w:val="FFFFFF"/>
          <w:sz w:val="2"/>
        </w:rPr>
        <w:t xml:space="preserve"> </w:t>
      </w: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37288" w14:textId="77777777" w:rsidR="00655F05" w:rsidRDefault="00655F05">
      <w:pPr>
        <w:spacing w:after="0" w:line="240" w:lineRule="auto"/>
      </w:pPr>
      <w:r>
        <w:separator/>
      </w:r>
    </w:p>
  </w:endnote>
  <w:endnote w:type="continuationSeparator" w:id="0">
    <w:p w14:paraId="417707E1" w14:textId="77777777" w:rsidR="00655F05" w:rsidRDefault="00655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EBA37" w14:textId="77777777" w:rsidR="00655F05" w:rsidRDefault="00655F05">
      <w:pPr>
        <w:spacing w:after="0" w:line="240" w:lineRule="auto"/>
      </w:pPr>
      <w:r>
        <w:separator/>
      </w:r>
    </w:p>
  </w:footnote>
  <w:footnote w:type="continuationSeparator" w:id="0">
    <w:p w14:paraId="05ABC9DD" w14:textId="77777777" w:rsidR="00655F05" w:rsidRDefault="00655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CONNECTICUT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4188</Words>
  <Characters>23877</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3</cp:revision>
  <dcterms:created xsi:type="dcterms:W3CDTF">2026-07-23T18:50:00Z</dcterms:created>
  <dcterms:modified xsi:type="dcterms:W3CDTF">2026-07-23T19:16:00Z</dcterms:modified>
  <cp:category/>
</cp:coreProperties>
</file>