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B0BBC"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092E043E" w14:textId="77777777" w:rsidR="00024A47" w:rsidRPr="00024A47" w:rsidRDefault="00024A47">
      <w:pPr>
        <w:spacing w:after="140"/>
        <w:jc w:val="center"/>
        <w:rPr>
          <w:rFonts w:ascii="Courier New" w:hAnsi="Courier New" w:cs="Courier New"/>
          <w:b/>
          <w:sz w:val="22"/>
        </w:rPr>
      </w:pPr>
    </w:p>
    <w:p w14:paraId="456562F0" w14:textId="77777777"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5D9175AA" w14:textId="77777777" w:rsidR="00566B6A" w:rsidRPr="00024A47" w:rsidRDefault="00566B6A" w:rsidP="00566B6A">
      <w:pPr>
        <w:spacing w:after="0"/>
        <w:jc w:val="center"/>
        <w:rPr>
          <w:rFonts w:ascii="Courier New" w:hAnsi="Courier New" w:cs="Courier New"/>
          <w:bCs/>
          <w:sz w:val="22"/>
        </w:rPr>
      </w:pPr>
    </w:p>
    <w:p w14:paraId="305BEADA"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514D7CD8"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24BB4788"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3FB3F6CF"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Delaware (DE)</w:t>
      </w:r>
    </w:p>
    <w:p w14:paraId="76104B32"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6A21C1DC"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Washington (WA)</w:t>
      </w:r>
    </w:p>
    <w:p w14:paraId="2C170923"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0AC652FE"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Delaware Consumer Fraud Act (CFA)</w:t>
      </w:r>
    </w:p>
    <w:p w14:paraId="756A947D"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6 Del. C. §§ 2511 through 2528</w:t>
      </w:r>
    </w:p>
    <w:p w14:paraId="14CF84C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deception, fraud, false promises, misrepresentations, unfair practices, and material concealment or omission connected with the sale, lease, receipt, or advertisement of merchandise.</w:t>
      </w:r>
    </w:p>
    <w:p w14:paraId="7825D2C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A victim may bring a private action under § 2525. Delaware cases recognize actual damages directly caused by statutory fraud and possible punitive damages for aggravated misconduct. Public relief may include injunction, restitution, rescission, disgorgement, and civil penalties.</w:t>
      </w:r>
    </w:p>
    <w:p w14:paraId="5E14329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Expressly authorized by § 2525. Although § 2513 does not require actual reliance to establish an unlawful practice, a private claimant should document victim status, causation, and injury. Statutory actions generally have a three-year period under 10 Del. C. § 8106.</w:t>
      </w:r>
    </w:p>
    <w:p w14:paraId="47E5FFC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AG enforcement: Delaware DOJ, Division of Consumer Protection, established by 29 Del. C. § 2517, with investigative, administrative, civil, criminal, restitutionary, and rulemaking authority under § 2520.</w:t>
      </w:r>
    </w:p>
    <w:p w14:paraId="5D937513"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7CFF41AD"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 activity present — verify Delaware business-license status and apply the federal FDCPA to qualifying third-party debt collectors.</w:t>
      </w:r>
    </w:p>
    <w:p w14:paraId="678779A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Overview: 30 Del. C. § 2301(a)(11) requires an occupational business license and tax for collection agencies. It is not a comprehensive conduct code; the federal FDCPA supplies the primary conduct standards.</w:t>
      </w:r>
    </w:p>
    <w:p w14:paraId="535262B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30 Del. C. § 2301(a)(11); 15 U.S.C. §§ 1692 through 1692p.</w:t>
      </w:r>
    </w:p>
    <w:p w14:paraId="1AA1F40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Regulators: Delaware Division of Revenue; Delaware DOJ, Division of Consumer Protection; CFPB and FTC where applicable.</w:t>
      </w:r>
    </w:p>
    <w:p w14:paraId="521B7973"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030F008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The Clean Credit and Identity Theft Prevention Act, 6 Del. C. §§ 2201–2205, addresses credit-report definitions, freezes, identity-theft police reports, and protected-consumer freezes. Federal FCRA procedures remain the primary accuracy framework.</w:t>
      </w:r>
    </w:p>
    <w:p w14:paraId="7193128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Consumers may place, lift, or remove a freeze under § 2203. Protected-consumer freezes are addressed by § 2205.</w:t>
      </w:r>
    </w:p>
    <w:p w14:paraId="323AB1B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use FCRA file-disclosure rights and Delaware security-freeze procedures.</w:t>
      </w:r>
    </w:p>
    <w:p w14:paraId="10BFAC65"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Dispute inaccurate, incomplete, or unverifiable personal identifiers directly with the CRA under 15 U.S.C. § 1681i. Evaluate Delaware claims separately for FCRA preemption.</w:t>
      </w:r>
    </w:p>
    <w:p w14:paraId="2445510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Federal fraud-alert rights are supplemented by Delaware security freezes and the police-report procedure in § 2204.</w:t>
      </w:r>
    </w:p>
    <w:p w14:paraId="1242EF3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 2203(d) and 2205(l) authorize notice, injunction, up to $1,000 per violation, other damages, expenses, costs, and fees for qualifying negligent releases.</w:t>
      </w:r>
    </w:p>
    <w:p w14:paraId="2CE09B47"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3FB1BB6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206F124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601CAF37"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File disclosure and source identification: Under 15 U.S.C. § 1681g(a)(1)–(2), the consumer may request a clear and accurate disclosure of all information in the file and the sources of that </w:t>
      </w:r>
      <w:r w:rsidRPr="00566B6A">
        <w:rPr>
          <w:rFonts w:ascii="Courier New" w:hAnsi="Courier New" w:cs="Courier New"/>
          <w:bCs/>
          <w:sz w:val="22"/>
        </w:rPr>
        <w:lastRenderedPageBreak/>
        <w:t>information, subject to statutory exceptions. The disclosure should be used to identify each disputed address, telephone number, employer, alias, or other personal-data entry precisely.</w:t>
      </w:r>
    </w:p>
    <w:p w14:paraId="477ABC21"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CRA dispute and reasonable reinvestigation: Under 15 U.S.C. § 1681i(a)(1)(A), when the consumer disputes the completeness or accuracy of any item of information in the file and notifies the consumer reporting agency, the agency must conduct a reasonable reinvestigation free of charge, determine whether the item is inaccurate, record its current status, or delete it in accordance with § 1681i(a)(5). Section 1681i(a)(4) requires the agency to review and consider all relevant information submitted by the consumer.</w:t>
      </w:r>
    </w:p>
    <w:p w14:paraId="4A900E16"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13794281"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2DF9008B"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44969862"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furnisher may still have duties after receiving the dispute through the agency under 15 U.S.C. § 1681s-2(b), where applicable.</w:t>
      </w:r>
    </w:p>
    <w:p w14:paraId="6060B0CE"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Identity-theft blocking: If an address, employer, telephone number, or related entry resulted from identity theft, 15 U.S.C. § 1681c-2(a) generally requires the consumer reporting agency to block reporting of the identified information within four business days after receiving </w:t>
      </w:r>
      <w:r w:rsidRPr="00566B6A">
        <w:rPr>
          <w:rFonts w:ascii="Courier New" w:hAnsi="Courier New" w:cs="Courier New"/>
          <w:bCs/>
          <w:sz w:val="22"/>
        </w:rPr>
        <w:lastRenderedPageBreak/>
        <w:t>appropriate proof of identity, an identity-theft report, identification of the information, and the consumer’s statement that the information does not relate to a transaction by the consumer.</w:t>
      </w:r>
    </w:p>
    <w:p w14:paraId="786BBA6E"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Practical limitation—no automatic purge of accurate history: The FCRA does not automatically require deletion merely because a former address or employer is old or no longer current. Request modification when an accurate historical item is incorrectly labeled as current. 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57DC07DE"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2F26BDD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11 Del. C. § 854 criminalizes specified unauthorized obtaining, possession, use, sale, gift, or transfer of another person’s identifying information to commit or facilitate a crime.</w:t>
      </w:r>
    </w:p>
    <w:p w14:paraId="7C4ECEE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Police report: Under 6 Del. C. § 2204, the police agency serving the victim’s residence must take an identity-theft report and provide a copy.</w:t>
      </w:r>
    </w:p>
    <w:p w14:paraId="76646B4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Use police/FTC reports, fraud alerts, freezes, creditor notices, federal blocking, and documented disputes.</w:t>
      </w:r>
    </w:p>
    <w:p w14:paraId="05746A4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Preserve police/FTC reports, freeze confirmations, creditor notices, bureau responses, and complaint numbers.</w:t>
      </w:r>
    </w:p>
    <w:p w14:paraId="5E1DAD0F"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33850A0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6 Del. C. Chapter 12B generally requires notice without unreasonable delay and no later than sixty days after determining a breach, subject to exceptions and law-enforcement delay.</w:t>
      </w:r>
    </w:p>
    <w:p w14:paraId="11DF099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Delaware’s data-security and breach requirements are codified at 6 Del. C. §§ 12B-101–12B-104.</w:t>
      </w:r>
    </w:p>
    <w:p w14:paraId="347E8A51"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Additional Delaware privacy laws may apply; this module is limited to the listed authorities.</w:t>
      </w:r>
    </w:p>
    <w:p w14:paraId="758D175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Preserve investigation findings, affected data, resident and AG notices, monitoring offers, delay requests, and remediation records.</w:t>
      </w:r>
    </w:p>
    <w:p w14:paraId="40C49315"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504B74DA"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Delaware DOJ — Division of Consumer Protection: Complaint intake, investigation, administrative relief, restitution, and CFA enforcement.</w:t>
      </w:r>
    </w:p>
    <w:p w14:paraId="79CEC26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Delaware Division of Revenue: Collection-agency occupational business-license administration under § 2301(a)(11).</w:t>
      </w:r>
    </w:p>
    <w:p w14:paraId="0C06041A"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Delaware State Bank Commissioner: Complaint pathway for covered Delaware financial institutions and providers.</w:t>
      </w:r>
    </w:p>
    <w:p w14:paraId="5DD822F3"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or debt-collection law applies.</w:t>
      </w:r>
    </w:p>
    <w:p w14:paraId="47C1A562"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Local Ordinances</w:t>
      </w:r>
    </w:p>
    <w:p w14:paraId="6AF28A06"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controlling for credit-report disputes; none are identified without municipal verification.</w:t>
      </w:r>
    </w:p>
    <w:p w14:paraId="75A5F7D2" w14:textId="77777777" w:rsidR="00566B6A" w:rsidRPr="00566B6A" w:rsidRDefault="00566B6A" w:rsidP="00566B6A">
      <w:pPr>
        <w:spacing w:after="0"/>
        <w:rPr>
          <w:rFonts w:ascii="Courier New" w:hAnsi="Courier New" w:cs="Courier New"/>
          <w:bCs/>
          <w:sz w:val="22"/>
        </w:rPr>
      </w:pPr>
    </w:p>
    <w:p w14:paraId="7B21260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18CD6E07" w14:textId="77777777">
        <w:trPr>
          <w:cantSplit/>
          <w:tblHeader/>
          <w:jc w:val="center"/>
        </w:trPr>
        <w:tc>
          <w:tcPr>
            <w:tcW w:w="1440" w:type="dxa"/>
            <w:shd w:val="clear" w:color="auto" w:fill="D9EAF7"/>
            <w:tcMar>
              <w:top w:w="55" w:type="dxa"/>
              <w:left w:w="55" w:type="dxa"/>
              <w:bottom w:w="55" w:type="dxa"/>
              <w:right w:w="55" w:type="dxa"/>
            </w:tcMar>
            <w:vAlign w:val="center"/>
          </w:tcPr>
          <w:p w14:paraId="41BBD1C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5D6C6C6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2388925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4962563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5C93451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5BF0D51A" w14:textId="77777777">
        <w:trPr>
          <w:cantSplit/>
          <w:jc w:val="center"/>
        </w:trPr>
        <w:tc>
          <w:tcPr>
            <w:tcW w:w="1440" w:type="dxa"/>
            <w:tcMar>
              <w:top w:w="50" w:type="dxa"/>
              <w:left w:w="55" w:type="dxa"/>
              <w:bottom w:w="50" w:type="dxa"/>
              <w:right w:w="55" w:type="dxa"/>
            </w:tcMar>
          </w:tcPr>
          <w:p w14:paraId="1C02B5A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2EFF502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6 Del. C. §§ 2511–2528</w:t>
            </w:r>
          </w:p>
        </w:tc>
        <w:tc>
          <w:tcPr>
            <w:tcW w:w="3168" w:type="dxa"/>
            <w:tcMar>
              <w:top w:w="50" w:type="dxa"/>
              <w:left w:w="55" w:type="dxa"/>
              <w:bottom w:w="50" w:type="dxa"/>
              <w:right w:w="55" w:type="dxa"/>
            </w:tcMar>
          </w:tcPr>
          <w:p w14:paraId="13B2165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CFA — deceptive or unfair merchandising practices</w:t>
            </w:r>
          </w:p>
        </w:tc>
        <w:tc>
          <w:tcPr>
            <w:tcW w:w="3456" w:type="dxa"/>
            <w:tcMar>
              <w:top w:w="50" w:type="dxa"/>
              <w:left w:w="55" w:type="dxa"/>
              <w:bottom w:w="50" w:type="dxa"/>
              <w:right w:w="55" w:type="dxa"/>
            </w:tcMar>
          </w:tcPr>
          <w:p w14:paraId="321020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Private damages action; public injunction, restitution, and penalties</w:t>
            </w:r>
          </w:p>
        </w:tc>
        <w:tc>
          <w:tcPr>
            <w:tcW w:w="3888" w:type="dxa"/>
            <w:tcMar>
              <w:top w:w="50" w:type="dxa"/>
              <w:left w:w="55" w:type="dxa"/>
              <w:bottom w:w="50" w:type="dxa"/>
              <w:right w:w="55" w:type="dxa"/>
            </w:tcMar>
          </w:tcPr>
          <w:p w14:paraId="2FC2B6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Transaction; representation/omission; victim status; causation; damages; timing</w:t>
            </w:r>
          </w:p>
        </w:tc>
      </w:tr>
      <w:tr w:rsidR="00756B19" w:rsidRPr="00566B6A" w14:paraId="51275A7C" w14:textId="77777777">
        <w:trPr>
          <w:cantSplit/>
          <w:jc w:val="center"/>
        </w:trPr>
        <w:tc>
          <w:tcPr>
            <w:tcW w:w="1440" w:type="dxa"/>
            <w:shd w:val="clear" w:color="auto" w:fill="F7FAFC"/>
            <w:tcMar>
              <w:top w:w="50" w:type="dxa"/>
              <w:left w:w="55" w:type="dxa"/>
              <w:bottom w:w="50" w:type="dxa"/>
              <w:right w:w="55" w:type="dxa"/>
            </w:tcMar>
          </w:tcPr>
          <w:p w14:paraId="412C1DF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5486463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30 Del. C. § 2301(a)(11)</w:t>
            </w:r>
          </w:p>
        </w:tc>
        <w:tc>
          <w:tcPr>
            <w:tcW w:w="3168" w:type="dxa"/>
            <w:shd w:val="clear" w:color="auto" w:fill="F7FAFC"/>
            <w:tcMar>
              <w:top w:w="50" w:type="dxa"/>
              <w:left w:w="55" w:type="dxa"/>
              <w:bottom w:w="50" w:type="dxa"/>
              <w:right w:w="55" w:type="dxa"/>
            </w:tcMar>
          </w:tcPr>
          <w:p w14:paraId="3E3FF89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Collection-agency business license and tax</w:t>
            </w:r>
          </w:p>
        </w:tc>
        <w:tc>
          <w:tcPr>
            <w:tcW w:w="3456" w:type="dxa"/>
            <w:shd w:val="clear" w:color="auto" w:fill="F7FAFC"/>
            <w:tcMar>
              <w:top w:w="50" w:type="dxa"/>
              <w:left w:w="55" w:type="dxa"/>
              <w:bottom w:w="50" w:type="dxa"/>
              <w:right w:w="55" w:type="dxa"/>
            </w:tcMar>
          </w:tcPr>
          <w:p w14:paraId="37302EB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License/tax compliance; federal FDCPA remedies separately</w:t>
            </w:r>
          </w:p>
        </w:tc>
        <w:tc>
          <w:tcPr>
            <w:tcW w:w="3888" w:type="dxa"/>
            <w:shd w:val="clear" w:color="auto" w:fill="F7FAFC"/>
            <w:tcMar>
              <w:top w:w="50" w:type="dxa"/>
              <w:left w:w="55" w:type="dxa"/>
              <w:bottom w:w="50" w:type="dxa"/>
              <w:right w:w="55" w:type="dxa"/>
            </w:tcMar>
          </w:tcPr>
          <w:p w14:paraId="4E7DF4D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 identity; license; letters; calls; ledger; federal analysis</w:t>
            </w:r>
          </w:p>
        </w:tc>
      </w:tr>
      <w:tr w:rsidR="00756B19" w:rsidRPr="00566B6A" w14:paraId="3C761045" w14:textId="77777777">
        <w:trPr>
          <w:cantSplit/>
          <w:jc w:val="center"/>
        </w:trPr>
        <w:tc>
          <w:tcPr>
            <w:tcW w:w="1440" w:type="dxa"/>
            <w:tcMar>
              <w:top w:w="50" w:type="dxa"/>
              <w:left w:w="55" w:type="dxa"/>
              <w:bottom w:w="50" w:type="dxa"/>
              <w:right w:w="55" w:type="dxa"/>
            </w:tcMar>
          </w:tcPr>
          <w:p w14:paraId="6DC73A9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0F1F69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6 Del. C. §§ 2201–2205</w:t>
            </w:r>
          </w:p>
        </w:tc>
        <w:tc>
          <w:tcPr>
            <w:tcW w:w="3168" w:type="dxa"/>
            <w:tcMar>
              <w:top w:w="50" w:type="dxa"/>
              <w:left w:w="55" w:type="dxa"/>
              <w:bottom w:w="50" w:type="dxa"/>
              <w:right w:w="55" w:type="dxa"/>
            </w:tcMar>
          </w:tcPr>
          <w:p w14:paraId="4329D6A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Credit-report freezes and identity-theft police reports</w:t>
            </w:r>
          </w:p>
        </w:tc>
        <w:tc>
          <w:tcPr>
            <w:tcW w:w="3456" w:type="dxa"/>
            <w:tcMar>
              <w:top w:w="50" w:type="dxa"/>
              <w:left w:w="55" w:type="dxa"/>
              <w:bottom w:w="50" w:type="dxa"/>
              <w:right w:w="55" w:type="dxa"/>
            </w:tcMar>
          </w:tcPr>
          <w:p w14:paraId="371D8D7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relief; up to $1,000; other damages, costs, and fees</w:t>
            </w:r>
          </w:p>
        </w:tc>
        <w:tc>
          <w:tcPr>
            <w:tcW w:w="3888" w:type="dxa"/>
            <w:tcMar>
              <w:top w:w="50" w:type="dxa"/>
              <w:left w:w="55" w:type="dxa"/>
              <w:bottom w:w="50" w:type="dxa"/>
              <w:right w:w="55" w:type="dxa"/>
            </w:tcMar>
          </w:tcPr>
          <w:p w14:paraId="03C8767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confirmation; release history; police report; correction trail</w:t>
            </w:r>
          </w:p>
        </w:tc>
      </w:tr>
      <w:tr w:rsidR="00756B19" w:rsidRPr="00566B6A" w14:paraId="017B2781" w14:textId="77777777">
        <w:trPr>
          <w:cantSplit/>
          <w:jc w:val="center"/>
        </w:trPr>
        <w:tc>
          <w:tcPr>
            <w:tcW w:w="1440" w:type="dxa"/>
            <w:shd w:val="clear" w:color="auto" w:fill="F7FAFC"/>
            <w:tcMar>
              <w:top w:w="50" w:type="dxa"/>
              <w:left w:w="55" w:type="dxa"/>
              <w:bottom w:w="50" w:type="dxa"/>
              <w:right w:w="55" w:type="dxa"/>
            </w:tcMar>
          </w:tcPr>
          <w:p w14:paraId="185AFAC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7552E08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6 Del. C. §§ 12B-101–104</w:t>
            </w:r>
          </w:p>
        </w:tc>
        <w:tc>
          <w:tcPr>
            <w:tcW w:w="3168" w:type="dxa"/>
            <w:shd w:val="clear" w:color="auto" w:fill="F7FAFC"/>
            <w:tcMar>
              <w:top w:w="50" w:type="dxa"/>
              <w:left w:w="55" w:type="dxa"/>
              <w:bottom w:w="50" w:type="dxa"/>
              <w:right w:w="55" w:type="dxa"/>
            </w:tcMar>
          </w:tcPr>
          <w:p w14:paraId="077DA00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security, breach notice, and AG notice</w:t>
            </w:r>
          </w:p>
        </w:tc>
        <w:tc>
          <w:tcPr>
            <w:tcW w:w="3456" w:type="dxa"/>
            <w:shd w:val="clear" w:color="auto" w:fill="F7FAFC"/>
            <w:tcMar>
              <w:top w:w="50" w:type="dxa"/>
              <w:left w:w="55" w:type="dxa"/>
              <w:bottom w:w="50" w:type="dxa"/>
              <w:right w:w="55" w:type="dxa"/>
            </w:tcMar>
          </w:tcPr>
          <w:p w14:paraId="796FCF9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Required notice/monitoring; Attorney General enforcement</w:t>
            </w:r>
          </w:p>
        </w:tc>
        <w:tc>
          <w:tcPr>
            <w:tcW w:w="3888" w:type="dxa"/>
            <w:shd w:val="clear" w:color="auto" w:fill="F7FAFC"/>
            <w:tcMar>
              <w:top w:w="50" w:type="dxa"/>
              <w:left w:w="55" w:type="dxa"/>
              <w:bottom w:w="50" w:type="dxa"/>
              <w:right w:w="55" w:type="dxa"/>
            </w:tcMar>
          </w:tcPr>
          <w:p w14:paraId="517B47B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findings; dates; data; notices; monitoring; remediation</w:t>
            </w:r>
          </w:p>
        </w:tc>
      </w:tr>
      <w:tr w:rsidR="00756B19" w:rsidRPr="00566B6A" w14:paraId="75BCD624" w14:textId="77777777">
        <w:trPr>
          <w:cantSplit/>
          <w:jc w:val="center"/>
        </w:trPr>
        <w:tc>
          <w:tcPr>
            <w:tcW w:w="1440" w:type="dxa"/>
            <w:tcMar>
              <w:top w:w="50" w:type="dxa"/>
              <w:left w:w="55" w:type="dxa"/>
              <w:bottom w:w="50" w:type="dxa"/>
              <w:right w:w="55" w:type="dxa"/>
            </w:tcMar>
          </w:tcPr>
          <w:p w14:paraId="6CA722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2D71F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11 Del. C. § 854; 6 Del. C. § 2204</w:t>
            </w:r>
          </w:p>
        </w:tc>
        <w:tc>
          <w:tcPr>
            <w:tcW w:w="3168" w:type="dxa"/>
            <w:tcMar>
              <w:top w:w="50" w:type="dxa"/>
              <w:left w:w="55" w:type="dxa"/>
              <w:bottom w:w="50" w:type="dxa"/>
              <w:right w:w="55" w:type="dxa"/>
            </w:tcMar>
          </w:tcPr>
          <w:p w14:paraId="71EF69D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theft and police-report procedure</w:t>
            </w:r>
          </w:p>
        </w:tc>
        <w:tc>
          <w:tcPr>
            <w:tcW w:w="3456" w:type="dxa"/>
            <w:tcMar>
              <w:top w:w="50" w:type="dxa"/>
              <w:left w:w="55" w:type="dxa"/>
              <w:bottom w:w="50" w:type="dxa"/>
              <w:right w:w="55" w:type="dxa"/>
            </w:tcMar>
          </w:tcPr>
          <w:p w14:paraId="08BC01D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remedies and restoration documentation</w:t>
            </w:r>
          </w:p>
        </w:tc>
        <w:tc>
          <w:tcPr>
            <w:tcW w:w="3888" w:type="dxa"/>
            <w:tcMar>
              <w:top w:w="50" w:type="dxa"/>
              <w:left w:w="55" w:type="dxa"/>
              <w:bottom w:w="50" w:type="dxa"/>
              <w:right w:w="55" w:type="dxa"/>
            </w:tcMar>
          </w:tcPr>
          <w:p w14:paraId="2F9EAF6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identity proof; creditor/bureau notices</w:t>
            </w:r>
          </w:p>
        </w:tc>
      </w:tr>
      <w:tr w:rsidR="00756B19" w:rsidRPr="00566B6A" w14:paraId="465F50B7" w14:textId="77777777">
        <w:trPr>
          <w:cantSplit/>
          <w:jc w:val="center"/>
        </w:trPr>
        <w:tc>
          <w:tcPr>
            <w:tcW w:w="1440" w:type="dxa"/>
            <w:shd w:val="clear" w:color="auto" w:fill="F7FAFC"/>
            <w:tcMar>
              <w:top w:w="50" w:type="dxa"/>
              <w:left w:w="55" w:type="dxa"/>
              <w:bottom w:w="50" w:type="dxa"/>
              <w:right w:w="55" w:type="dxa"/>
            </w:tcMar>
          </w:tcPr>
          <w:p w14:paraId="6870125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2E7CB02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 DOJ — Consumer Protection</w:t>
            </w:r>
          </w:p>
        </w:tc>
        <w:tc>
          <w:tcPr>
            <w:tcW w:w="3168" w:type="dxa"/>
            <w:shd w:val="clear" w:color="auto" w:fill="F7FAFC"/>
            <w:tcMar>
              <w:top w:w="50" w:type="dxa"/>
              <w:left w:w="55" w:type="dxa"/>
              <w:bottom w:w="50" w:type="dxa"/>
              <w:right w:w="55" w:type="dxa"/>
            </w:tcMar>
          </w:tcPr>
          <w:p w14:paraId="007DCCF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intake and CFA enforcement</w:t>
            </w:r>
          </w:p>
        </w:tc>
        <w:tc>
          <w:tcPr>
            <w:tcW w:w="3456" w:type="dxa"/>
            <w:shd w:val="clear" w:color="auto" w:fill="F7FAFC"/>
            <w:tcMar>
              <w:top w:w="50" w:type="dxa"/>
              <w:left w:w="55" w:type="dxa"/>
              <w:bottom w:w="50" w:type="dxa"/>
              <w:right w:w="55" w:type="dxa"/>
            </w:tcMar>
          </w:tcPr>
          <w:p w14:paraId="752DC81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Investigation, cease and desist, restitution, or enforcement</w:t>
            </w:r>
          </w:p>
        </w:tc>
        <w:tc>
          <w:tcPr>
            <w:tcW w:w="3888" w:type="dxa"/>
            <w:shd w:val="clear" w:color="auto" w:fill="F7FAFC"/>
            <w:tcMar>
              <w:top w:w="50" w:type="dxa"/>
              <w:left w:w="55" w:type="dxa"/>
              <w:bottom w:w="50" w:type="dxa"/>
              <w:right w:w="55" w:type="dxa"/>
            </w:tcMar>
          </w:tcPr>
          <w:p w14:paraId="786143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response; correspondence; chronology</w:t>
            </w:r>
          </w:p>
        </w:tc>
      </w:tr>
      <w:tr w:rsidR="00756B19" w:rsidRPr="00566B6A" w14:paraId="1EA4AEC1" w14:textId="77777777">
        <w:trPr>
          <w:cantSplit/>
          <w:jc w:val="center"/>
        </w:trPr>
        <w:tc>
          <w:tcPr>
            <w:tcW w:w="1440" w:type="dxa"/>
            <w:tcMar>
              <w:top w:w="50" w:type="dxa"/>
              <w:left w:w="55" w:type="dxa"/>
              <w:bottom w:w="50" w:type="dxa"/>
              <w:right w:w="55" w:type="dxa"/>
            </w:tcMar>
          </w:tcPr>
          <w:p w14:paraId="51A846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Regulator</w:t>
            </w:r>
          </w:p>
        </w:tc>
        <w:tc>
          <w:tcPr>
            <w:tcW w:w="2448" w:type="dxa"/>
            <w:tcMar>
              <w:top w:w="50" w:type="dxa"/>
              <w:left w:w="55" w:type="dxa"/>
              <w:bottom w:w="50" w:type="dxa"/>
              <w:right w:w="55" w:type="dxa"/>
            </w:tcMar>
          </w:tcPr>
          <w:p w14:paraId="3FA2F4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Revenue / State Bank Commissioner</w:t>
            </w:r>
          </w:p>
        </w:tc>
        <w:tc>
          <w:tcPr>
            <w:tcW w:w="3168" w:type="dxa"/>
            <w:tcMar>
              <w:top w:w="50" w:type="dxa"/>
              <w:left w:w="55" w:type="dxa"/>
              <w:bottom w:w="50" w:type="dxa"/>
              <w:right w:w="55" w:type="dxa"/>
            </w:tcMar>
          </w:tcPr>
          <w:p w14:paraId="69992C6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Business licenses and covered financial entities</w:t>
            </w:r>
          </w:p>
        </w:tc>
        <w:tc>
          <w:tcPr>
            <w:tcW w:w="3456" w:type="dxa"/>
            <w:tcMar>
              <w:top w:w="50" w:type="dxa"/>
              <w:left w:w="55" w:type="dxa"/>
              <w:bottom w:w="50" w:type="dxa"/>
              <w:right w:w="55" w:type="dxa"/>
            </w:tcMar>
          </w:tcPr>
          <w:p w14:paraId="344A90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review, complaints, examination, or administrative action</w:t>
            </w:r>
          </w:p>
        </w:tc>
        <w:tc>
          <w:tcPr>
            <w:tcW w:w="3888" w:type="dxa"/>
            <w:tcMar>
              <w:top w:w="50" w:type="dxa"/>
              <w:left w:w="55" w:type="dxa"/>
              <w:bottom w:w="50" w:type="dxa"/>
              <w:right w:w="55" w:type="dxa"/>
            </w:tcMar>
          </w:tcPr>
          <w:p w14:paraId="2B8B6B6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lookup; complaint file; regulator correspondence</w:t>
            </w:r>
          </w:p>
        </w:tc>
      </w:tr>
      <w:tr w:rsidR="00756B19" w:rsidRPr="00566B6A" w14:paraId="0F59EBF2" w14:textId="77777777">
        <w:trPr>
          <w:cantSplit/>
          <w:jc w:val="center"/>
        </w:trPr>
        <w:tc>
          <w:tcPr>
            <w:tcW w:w="1440" w:type="dxa"/>
            <w:shd w:val="clear" w:color="auto" w:fill="F7FAFC"/>
            <w:tcMar>
              <w:top w:w="50" w:type="dxa"/>
              <w:left w:w="55" w:type="dxa"/>
              <w:bottom w:w="50" w:type="dxa"/>
              <w:right w:w="55" w:type="dxa"/>
            </w:tcMar>
          </w:tcPr>
          <w:p w14:paraId="2ED0F58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Ordinance</w:t>
            </w:r>
          </w:p>
        </w:tc>
        <w:tc>
          <w:tcPr>
            <w:tcW w:w="2448" w:type="dxa"/>
            <w:shd w:val="clear" w:color="auto" w:fill="F7FAFC"/>
            <w:tcMar>
              <w:top w:w="50" w:type="dxa"/>
              <w:left w:w="55" w:type="dxa"/>
              <w:bottom w:w="50" w:type="dxa"/>
              <w:right w:w="55" w:type="dxa"/>
            </w:tcMar>
          </w:tcPr>
          <w:p w14:paraId="21675C7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1551F0D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Municipal consumer-affairs or license codes</w:t>
            </w:r>
          </w:p>
        </w:tc>
        <w:tc>
          <w:tcPr>
            <w:tcW w:w="3456" w:type="dxa"/>
            <w:shd w:val="clear" w:color="auto" w:fill="F7FAFC"/>
            <w:tcMar>
              <w:top w:w="50" w:type="dxa"/>
              <w:left w:w="55" w:type="dxa"/>
              <w:bottom w:w="50" w:type="dxa"/>
              <w:right w:w="55" w:type="dxa"/>
            </w:tcMar>
          </w:tcPr>
          <w:p w14:paraId="0391D5E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0CC8D3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Delaware and federal frameworks</w:t>
            </w:r>
          </w:p>
        </w:tc>
      </w:tr>
      <w:tr w:rsidR="00756B19" w:rsidRPr="00566B6A" w14:paraId="6BDC4854" w14:textId="77777777">
        <w:trPr>
          <w:jc w:val="center"/>
        </w:trPr>
        <w:tc>
          <w:tcPr>
            <w:tcW w:w="1440" w:type="dxa"/>
          </w:tcPr>
          <w:p w14:paraId="07BD55CB"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05910D0A"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28ADE644"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326789EF"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49235763"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626418E9" w14:textId="77777777">
        <w:trPr>
          <w:jc w:val="center"/>
        </w:trPr>
        <w:tc>
          <w:tcPr>
            <w:tcW w:w="1440" w:type="dxa"/>
          </w:tcPr>
          <w:p w14:paraId="7CCFB6C6"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47A3B84D"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6EE22AE0"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7593C976"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41A497E6"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371625D2" w14:textId="77777777">
        <w:trPr>
          <w:jc w:val="center"/>
        </w:trPr>
        <w:tc>
          <w:tcPr>
            <w:tcW w:w="1440" w:type="dxa"/>
          </w:tcPr>
          <w:p w14:paraId="351C91FD"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24196D9B"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7E8E8CDA"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3DBE7437"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4E7D46E9"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67B5C69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438FD4B6"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Delaware (DE)</w:t>
      </w:r>
    </w:p>
    <w:p w14:paraId="7FE025C0"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lastRenderedPageBreak/>
        <w:t>Educational module — no liability conclusions. No invented citations. The debt-collection decision below applies the federal FDCPA and should not be described as creating substantive collector-conduct duties under Delaware’s business-license tax provision.</w:t>
      </w:r>
    </w:p>
    <w:p w14:paraId="55153C9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626424F6" w14:textId="77777777">
        <w:trPr>
          <w:cantSplit/>
          <w:tblHeader/>
          <w:jc w:val="center"/>
        </w:trPr>
        <w:tc>
          <w:tcPr>
            <w:tcW w:w="2232" w:type="dxa"/>
            <w:shd w:val="clear" w:color="auto" w:fill="D9EAF7"/>
            <w:tcMar>
              <w:top w:w="55" w:type="dxa"/>
              <w:left w:w="55" w:type="dxa"/>
              <w:bottom w:w="55" w:type="dxa"/>
              <w:right w:w="55" w:type="dxa"/>
            </w:tcMar>
            <w:vAlign w:val="center"/>
          </w:tcPr>
          <w:p w14:paraId="2AC196C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5FC19BF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218A415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4FFA10F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476A4D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5430777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91D3C97" w14:textId="77777777">
        <w:trPr>
          <w:cantSplit/>
          <w:jc w:val="center"/>
        </w:trPr>
        <w:tc>
          <w:tcPr>
            <w:tcW w:w="2232" w:type="dxa"/>
            <w:tcMar>
              <w:top w:w="50" w:type="dxa"/>
              <w:left w:w="55" w:type="dxa"/>
              <w:bottom w:w="50" w:type="dxa"/>
              <w:right w:w="55" w:type="dxa"/>
            </w:tcMar>
          </w:tcPr>
          <w:p w14:paraId="36EAE09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Stephenson v. Capano Development, Inc.</w:t>
            </w:r>
          </w:p>
        </w:tc>
        <w:tc>
          <w:tcPr>
            <w:tcW w:w="1152" w:type="dxa"/>
            <w:tcMar>
              <w:top w:w="50" w:type="dxa"/>
              <w:left w:w="55" w:type="dxa"/>
              <w:bottom w:w="50" w:type="dxa"/>
              <w:right w:w="55" w:type="dxa"/>
            </w:tcMar>
          </w:tcPr>
          <w:p w14:paraId="6BB5BD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Del. Sup. Ct.</w:t>
            </w:r>
          </w:p>
        </w:tc>
        <w:tc>
          <w:tcPr>
            <w:tcW w:w="748" w:type="dxa"/>
            <w:tcMar>
              <w:top w:w="50" w:type="dxa"/>
              <w:left w:w="55" w:type="dxa"/>
              <w:bottom w:w="50" w:type="dxa"/>
              <w:right w:w="55" w:type="dxa"/>
            </w:tcMar>
          </w:tcPr>
          <w:p w14:paraId="36231D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1983</w:t>
            </w:r>
          </w:p>
        </w:tc>
        <w:tc>
          <w:tcPr>
            <w:tcW w:w="2088" w:type="dxa"/>
            <w:tcMar>
              <w:top w:w="50" w:type="dxa"/>
              <w:left w:w="55" w:type="dxa"/>
              <w:bottom w:w="50" w:type="dxa"/>
              <w:right w:w="55" w:type="dxa"/>
            </w:tcMar>
          </w:tcPr>
          <w:p w14:paraId="7C28E59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462 A.2d 1069</w:t>
            </w:r>
          </w:p>
        </w:tc>
        <w:tc>
          <w:tcPr>
            <w:tcW w:w="4536" w:type="dxa"/>
            <w:tcMar>
              <w:top w:w="50" w:type="dxa"/>
              <w:left w:w="55" w:type="dxa"/>
              <w:bottom w:w="50" w:type="dxa"/>
              <w:right w:w="55" w:type="dxa"/>
            </w:tcMar>
          </w:tcPr>
          <w:p w14:paraId="47FC0BD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Statutory consumer fraud differs from common-law fraud and does not require actual reliance to establish an unlawful practice. Direct and proximate damages, including increased financing costs, may be recovered.</w:t>
            </w:r>
          </w:p>
        </w:tc>
        <w:tc>
          <w:tcPr>
            <w:tcW w:w="3643" w:type="dxa"/>
            <w:tcMar>
              <w:top w:w="50" w:type="dxa"/>
              <w:left w:w="55" w:type="dxa"/>
              <w:bottom w:w="50" w:type="dxa"/>
              <w:right w:w="55" w:type="dxa"/>
            </w:tcMar>
          </w:tcPr>
          <w:p w14:paraId="2B60515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representation, transaction, causation, financing or valuation difference, actual loss, and damages measure.</w:t>
            </w:r>
          </w:p>
        </w:tc>
      </w:tr>
      <w:tr w:rsidR="00756B19" w:rsidRPr="00566B6A" w14:paraId="0CF0F423" w14:textId="77777777">
        <w:trPr>
          <w:cantSplit/>
          <w:jc w:val="center"/>
        </w:trPr>
        <w:tc>
          <w:tcPr>
            <w:tcW w:w="2232" w:type="dxa"/>
            <w:shd w:val="clear" w:color="auto" w:fill="F7FAFC"/>
            <w:tcMar>
              <w:top w:w="50" w:type="dxa"/>
              <w:left w:w="55" w:type="dxa"/>
              <w:bottom w:w="50" w:type="dxa"/>
              <w:right w:w="55" w:type="dxa"/>
            </w:tcMar>
          </w:tcPr>
          <w:p w14:paraId="61AA39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Brandywine Volkswagen, Ltd. v. State</w:t>
            </w:r>
          </w:p>
        </w:tc>
        <w:tc>
          <w:tcPr>
            <w:tcW w:w="1152" w:type="dxa"/>
            <w:shd w:val="clear" w:color="auto" w:fill="F7FAFC"/>
            <w:tcMar>
              <w:top w:w="50" w:type="dxa"/>
              <w:left w:w="55" w:type="dxa"/>
              <w:bottom w:w="50" w:type="dxa"/>
              <w:right w:w="55" w:type="dxa"/>
            </w:tcMar>
          </w:tcPr>
          <w:p w14:paraId="5A6743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Del. Sup. Ct.</w:t>
            </w:r>
          </w:p>
        </w:tc>
        <w:tc>
          <w:tcPr>
            <w:tcW w:w="748" w:type="dxa"/>
            <w:shd w:val="clear" w:color="auto" w:fill="F7FAFC"/>
            <w:tcMar>
              <w:top w:w="50" w:type="dxa"/>
              <w:left w:w="55" w:type="dxa"/>
              <w:bottom w:w="50" w:type="dxa"/>
              <w:right w:w="55" w:type="dxa"/>
            </w:tcMar>
          </w:tcPr>
          <w:p w14:paraId="468FD81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1973</w:t>
            </w:r>
          </w:p>
        </w:tc>
        <w:tc>
          <w:tcPr>
            <w:tcW w:w="2088" w:type="dxa"/>
            <w:shd w:val="clear" w:color="auto" w:fill="F7FAFC"/>
            <w:tcMar>
              <w:top w:w="50" w:type="dxa"/>
              <w:left w:w="55" w:type="dxa"/>
              <w:bottom w:w="50" w:type="dxa"/>
              <w:right w:w="55" w:type="dxa"/>
            </w:tcMar>
          </w:tcPr>
          <w:p w14:paraId="1761E8F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312 A.2d 632</w:t>
            </w:r>
          </w:p>
        </w:tc>
        <w:tc>
          <w:tcPr>
            <w:tcW w:w="4536" w:type="dxa"/>
            <w:shd w:val="clear" w:color="auto" w:fill="F7FAFC"/>
            <w:tcMar>
              <w:top w:w="50" w:type="dxa"/>
              <w:left w:w="55" w:type="dxa"/>
              <w:bottom w:w="50" w:type="dxa"/>
              <w:right w:w="55" w:type="dxa"/>
            </w:tcMar>
          </w:tcPr>
          <w:p w14:paraId="2233E45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Lack of intent to make an untrue statement was not a defense where a dealer failed to disclose known mileage information and confirmed an inaccurate odometer reading.</w:t>
            </w:r>
          </w:p>
        </w:tc>
        <w:tc>
          <w:tcPr>
            <w:tcW w:w="3643" w:type="dxa"/>
            <w:shd w:val="clear" w:color="auto" w:fill="F7FAFC"/>
            <w:tcMar>
              <w:top w:w="50" w:type="dxa"/>
              <w:left w:w="55" w:type="dxa"/>
              <w:bottom w:w="50" w:type="dxa"/>
              <w:right w:w="55" w:type="dxa"/>
            </w:tcMar>
          </w:tcPr>
          <w:p w14:paraId="3BCB9A7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advertisements, sales statements, internal/title/mileage records, disclosure requests, and contradictory information.</w:t>
            </w:r>
          </w:p>
        </w:tc>
      </w:tr>
    </w:tbl>
    <w:p w14:paraId="12D2ABB3" w14:textId="77777777" w:rsidR="00756B19" w:rsidRPr="00566B6A" w:rsidRDefault="00756B19">
      <w:pPr>
        <w:spacing w:after="20"/>
        <w:rPr>
          <w:rFonts w:ascii="Courier New" w:hAnsi="Courier New" w:cs="Courier New"/>
          <w:sz w:val="22"/>
        </w:rPr>
      </w:pPr>
    </w:p>
    <w:p w14:paraId="3711A25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27D42DA7" w14:textId="77777777">
        <w:trPr>
          <w:cantSplit/>
          <w:tblHeader/>
          <w:jc w:val="center"/>
        </w:trPr>
        <w:tc>
          <w:tcPr>
            <w:tcW w:w="2232" w:type="dxa"/>
            <w:shd w:val="clear" w:color="auto" w:fill="D9EAF7"/>
            <w:tcMar>
              <w:top w:w="55" w:type="dxa"/>
              <w:left w:w="55" w:type="dxa"/>
              <w:bottom w:w="55" w:type="dxa"/>
              <w:right w:w="55" w:type="dxa"/>
            </w:tcMar>
            <w:vAlign w:val="center"/>
          </w:tcPr>
          <w:p w14:paraId="3A8E5CF8"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02915CC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DA0169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218FFE8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2C24065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D14F3A6"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315BBB10" w14:textId="77777777">
        <w:trPr>
          <w:cantSplit/>
          <w:jc w:val="center"/>
        </w:trPr>
        <w:tc>
          <w:tcPr>
            <w:tcW w:w="2232" w:type="dxa"/>
            <w:tcMar>
              <w:top w:w="50" w:type="dxa"/>
              <w:left w:w="55" w:type="dxa"/>
              <w:bottom w:w="50" w:type="dxa"/>
              <w:right w:w="55" w:type="dxa"/>
            </w:tcMar>
          </w:tcPr>
          <w:p w14:paraId="11E82D5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Brown v. Card Service Center</w:t>
            </w:r>
          </w:p>
        </w:tc>
        <w:tc>
          <w:tcPr>
            <w:tcW w:w="1152" w:type="dxa"/>
            <w:tcMar>
              <w:top w:w="50" w:type="dxa"/>
              <w:left w:w="55" w:type="dxa"/>
              <w:bottom w:w="50" w:type="dxa"/>
              <w:right w:w="55" w:type="dxa"/>
            </w:tcMar>
          </w:tcPr>
          <w:p w14:paraId="132156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3d Cir.</w:t>
            </w:r>
          </w:p>
        </w:tc>
        <w:tc>
          <w:tcPr>
            <w:tcW w:w="748" w:type="dxa"/>
            <w:tcMar>
              <w:top w:w="50" w:type="dxa"/>
              <w:left w:w="55" w:type="dxa"/>
              <w:bottom w:w="50" w:type="dxa"/>
              <w:right w:w="55" w:type="dxa"/>
            </w:tcMar>
          </w:tcPr>
          <w:p w14:paraId="010DABA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2006</w:t>
            </w:r>
          </w:p>
        </w:tc>
        <w:tc>
          <w:tcPr>
            <w:tcW w:w="2088" w:type="dxa"/>
            <w:tcMar>
              <w:top w:w="50" w:type="dxa"/>
              <w:left w:w="55" w:type="dxa"/>
              <w:bottom w:w="50" w:type="dxa"/>
              <w:right w:w="55" w:type="dxa"/>
            </w:tcMar>
          </w:tcPr>
          <w:p w14:paraId="047F2A4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464 F.3d 450</w:t>
            </w:r>
          </w:p>
        </w:tc>
        <w:tc>
          <w:tcPr>
            <w:tcW w:w="4536" w:type="dxa"/>
            <w:tcMar>
              <w:top w:w="50" w:type="dxa"/>
              <w:left w:w="55" w:type="dxa"/>
              <w:bottom w:w="50" w:type="dxa"/>
              <w:right w:w="55" w:type="dxa"/>
            </w:tcMar>
          </w:tcPr>
          <w:p w14:paraId="1D86460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letter stating that suit or attorney referral could occur may be deceptive under the FDCPA if the collector had no intention of taking those actions or rarely did so.</w:t>
            </w:r>
          </w:p>
        </w:tc>
        <w:tc>
          <w:tcPr>
            <w:tcW w:w="3643" w:type="dxa"/>
            <w:tcMar>
              <w:top w:w="50" w:type="dxa"/>
              <w:left w:w="55" w:type="dxa"/>
              <w:bottom w:w="50" w:type="dxa"/>
              <w:right w:w="55" w:type="dxa"/>
            </w:tcMar>
          </w:tcPr>
          <w:p w14:paraId="433A5F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letter, deadlines, threatened actions, collector policies, litigation history, account records, and consumer response.</w:t>
            </w:r>
          </w:p>
        </w:tc>
      </w:tr>
    </w:tbl>
    <w:p w14:paraId="27242330" w14:textId="77777777" w:rsidR="00756B19" w:rsidRPr="00566B6A" w:rsidRDefault="00756B19">
      <w:pPr>
        <w:spacing w:after="20"/>
        <w:rPr>
          <w:rFonts w:ascii="Courier New" w:hAnsi="Courier New" w:cs="Courier New"/>
          <w:sz w:val="22"/>
        </w:rPr>
      </w:pPr>
    </w:p>
    <w:p w14:paraId="3066C221"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7E05788" w14:textId="77777777">
        <w:trPr>
          <w:cantSplit/>
          <w:tblHeader/>
          <w:jc w:val="center"/>
        </w:trPr>
        <w:tc>
          <w:tcPr>
            <w:tcW w:w="2232" w:type="dxa"/>
            <w:shd w:val="clear" w:color="auto" w:fill="D9EAF7"/>
            <w:tcMar>
              <w:top w:w="55" w:type="dxa"/>
              <w:left w:w="55" w:type="dxa"/>
              <w:bottom w:w="55" w:type="dxa"/>
              <w:right w:w="55" w:type="dxa"/>
            </w:tcMar>
            <w:vAlign w:val="center"/>
          </w:tcPr>
          <w:p w14:paraId="71322FB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2D5DADD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7DE2DEA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384ACCD"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13E5D8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73C140D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6A732F9A" w14:textId="77777777">
        <w:trPr>
          <w:cantSplit/>
          <w:jc w:val="center"/>
        </w:trPr>
        <w:tc>
          <w:tcPr>
            <w:tcW w:w="2232" w:type="dxa"/>
            <w:tcMar>
              <w:top w:w="50" w:type="dxa"/>
              <w:left w:w="55" w:type="dxa"/>
              <w:bottom w:w="50" w:type="dxa"/>
              <w:right w:w="55" w:type="dxa"/>
            </w:tcMar>
          </w:tcPr>
          <w:p w14:paraId="548AF2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Stephenson v. Capano Development, Inc.</w:t>
            </w:r>
          </w:p>
        </w:tc>
        <w:tc>
          <w:tcPr>
            <w:tcW w:w="1152" w:type="dxa"/>
            <w:tcMar>
              <w:top w:w="50" w:type="dxa"/>
              <w:left w:w="55" w:type="dxa"/>
              <w:bottom w:w="50" w:type="dxa"/>
              <w:right w:w="55" w:type="dxa"/>
            </w:tcMar>
          </w:tcPr>
          <w:p w14:paraId="71940F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Del. Sup. Ct.</w:t>
            </w:r>
          </w:p>
        </w:tc>
        <w:tc>
          <w:tcPr>
            <w:tcW w:w="748" w:type="dxa"/>
            <w:tcMar>
              <w:top w:w="50" w:type="dxa"/>
              <w:left w:w="55" w:type="dxa"/>
              <w:bottom w:w="50" w:type="dxa"/>
              <w:right w:w="55" w:type="dxa"/>
            </w:tcMar>
          </w:tcPr>
          <w:p w14:paraId="5816499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1983</w:t>
            </w:r>
          </w:p>
        </w:tc>
        <w:tc>
          <w:tcPr>
            <w:tcW w:w="2088" w:type="dxa"/>
            <w:tcMar>
              <w:top w:w="50" w:type="dxa"/>
              <w:left w:w="55" w:type="dxa"/>
              <w:bottom w:w="50" w:type="dxa"/>
              <w:right w:w="55" w:type="dxa"/>
            </w:tcMar>
          </w:tcPr>
          <w:p w14:paraId="6A11505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462 A.2d 1069</w:t>
            </w:r>
          </w:p>
        </w:tc>
        <w:tc>
          <w:tcPr>
            <w:tcW w:w="4536" w:type="dxa"/>
            <w:tcMar>
              <w:top w:w="50" w:type="dxa"/>
              <w:left w:w="55" w:type="dxa"/>
              <w:bottom w:w="50" w:type="dxa"/>
              <w:right w:w="55" w:type="dxa"/>
            </w:tcMar>
          </w:tcPr>
          <w:p w14:paraId="3544CFF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Statutory consumer fraud differs from common-law fraud and does not require actual reliance to establish an unlawful practice. Direct and proximate damages, including increased financing costs, may be recovered.</w:t>
            </w:r>
          </w:p>
        </w:tc>
        <w:tc>
          <w:tcPr>
            <w:tcW w:w="3643" w:type="dxa"/>
            <w:tcMar>
              <w:top w:w="50" w:type="dxa"/>
              <w:left w:w="55" w:type="dxa"/>
              <w:bottom w:w="50" w:type="dxa"/>
              <w:right w:w="55" w:type="dxa"/>
            </w:tcMar>
          </w:tcPr>
          <w:p w14:paraId="2BEAD17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representation, transaction, causation, financing or valuation difference, actual loss, and damages measure.</w:t>
            </w:r>
          </w:p>
        </w:tc>
      </w:tr>
      <w:tr w:rsidR="00756B19" w:rsidRPr="00566B6A" w14:paraId="355DDEAD" w14:textId="77777777">
        <w:trPr>
          <w:cantSplit/>
          <w:jc w:val="center"/>
        </w:trPr>
        <w:tc>
          <w:tcPr>
            <w:tcW w:w="2232" w:type="dxa"/>
            <w:shd w:val="clear" w:color="auto" w:fill="F7FAFC"/>
            <w:tcMar>
              <w:top w:w="50" w:type="dxa"/>
              <w:left w:w="55" w:type="dxa"/>
              <w:bottom w:w="50" w:type="dxa"/>
              <w:right w:w="55" w:type="dxa"/>
            </w:tcMar>
          </w:tcPr>
          <w:p w14:paraId="5FF6119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Brandywine Volkswagen, Ltd. v. State</w:t>
            </w:r>
          </w:p>
        </w:tc>
        <w:tc>
          <w:tcPr>
            <w:tcW w:w="1152" w:type="dxa"/>
            <w:shd w:val="clear" w:color="auto" w:fill="F7FAFC"/>
            <w:tcMar>
              <w:top w:w="50" w:type="dxa"/>
              <w:left w:w="55" w:type="dxa"/>
              <w:bottom w:w="50" w:type="dxa"/>
              <w:right w:w="55" w:type="dxa"/>
            </w:tcMar>
          </w:tcPr>
          <w:p w14:paraId="7E0CD3B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Del. Sup. Ct.</w:t>
            </w:r>
          </w:p>
        </w:tc>
        <w:tc>
          <w:tcPr>
            <w:tcW w:w="748" w:type="dxa"/>
            <w:shd w:val="clear" w:color="auto" w:fill="F7FAFC"/>
            <w:tcMar>
              <w:top w:w="50" w:type="dxa"/>
              <w:left w:w="55" w:type="dxa"/>
              <w:bottom w:w="50" w:type="dxa"/>
              <w:right w:w="55" w:type="dxa"/>
            </w:tcMar>
          </w:tcPr>
          <w:p w14:paraId="4D23373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1973</w:t>
            </w:r>
          </w:p>
        </w:tc>
        <w:tc>
          <w:tcPr>
            <w:tcW w:w="2088" w:type="dxa"/>
            <w:shd w:val="clear" w:color="auto" w:fill="F7FAFC"/>
            <w:tcMar>
              <w:top w:w="50" w:type="dxa"/>
              <w:left w:w="55" w:type="dxa"/>
              <w:bottom w:w="50" w:type="dxa"/>
              <w:right w:w="55" w:type="dxa"/>
            </w:tcMar>
          </w:tcPr>
          <w:p w14:paraId="5B0975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312 A.2d 632</w:t>
            </w:r>
          </w:p>
        </w:tc>
        <w:tc>
          <w:tcPr>
            <w:tcW w:w="4536" w:type="dxa"/>
            <w:shd w:val="clear" w:color="auto" w:fill="F7FAFC"/>
            <w:tcMar>
              <w:top w:w="50" w:type="dxa"/>
              <w:left w:w="55" w:type="dxa"/>
              <w:bottom w:w="50" w:type="dxa"/>
              <w:right w:w="55" w:type="dxa"/>
            </w:tcMar>
          </w:tcPr>
          <w:p w14:paraId="14DB245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Lack of intent to make an untrue statement was not a defense where a dealer failed to disclose known mileage information and confirmed an inaccurate odometer reading.</w:t>
            </w:r>
          </w:p>
        </w:tc>
        <w:tc>
          <w:tcPr>
            <w:tcW w:w="3643" w:type="dxa"/>
            <w:shd w:val="clear" w:color="auto" w:fill="F7FAFC"/>
            <w:tcMar>
              <w:top w:w="50" w:type="dxa"/>
              <w:left w:w="55" w:type="dxa"/>
              <w:bottom w:w="50" w:type="dxa"/>
              <w:right w:w="55" w:type="dxa"/>
            </w:tcMar>
          </w:tcPr>
          <w:p w14:paraId="360D400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advertisements, sales statements, internal/title/mileage records, disclosure requests, and contradictory information.</w:t>
            </w:r>
          </w:p>
        </w:tc>
      </w:tr>
      <w:tr w:rsidR="00756B19" w:rsidRPr="00566B6A" w14:paraId="11EB01E9" w14:textId="77777777">
        <w:trPr>
          <w:cantSplit/>
          <w:jc w:val="center"/>
        </w:trPr>
        <w:tc>
          <w:tcPr>
            <w:tcW w:w="2232" w:type="dxa"/>
            <w:tcMar>
              <w:top w:w="50" w:type="dxa"/>
              <w:left w:w="55" w:type="dxa"/>
              <w:bottom w:w="50" w:type="dxa"/>
              <w:right w:w="55" w:type="dxa"/>
            </w:tcMar>
          </w:tcPr>
          <w:p w14:paraId="6D346B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Brown v. Card Service Center</w:t>
            </w:r>
          </w:p>
        </w:tc>
        <w:tc>
          <w:tcPr>
            <w:tcW w:w="1152" w:type="dxa"/>
            <w:tcMar>
              <w:top w:w="50" w:type="dxa"/>
              <w:left w:w="55" w:type="dxa"/>
              <w:bottom w:w="50" w:type="dxa"/>
              <w:right w:w="55" w:type="dxa"/>
            </w:tcMar>
          </w:tcPr>
          <w:p w14:paraId="0EFB307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3d Cir.</w:t>
            </w:r>
          </w:p>
        </w:tc>
        <w:tc>
          <w:tcPr>
            <w:tcW w:w="748" w:type="dxa"/>
            <w:tcMar>
              <w:top w:w="50" w:type="dxa"/>
              <w:left w:w="55" w:type="dxa"/>
              <w:bottom w:w="50" w:type="dxa"/>
              <w:right w:w="55" w:type="dxa"/>
            </w:tcMar>
          </w:tcPr>
          <w:p w14:paraId="557EB97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2006</w:t>
            </w:r>
          </w:p>
        </w:tc>
        <w:tc>
          <w:tcPr>
            <w:tcW w:w="2088" w:type="dxa"/>
            <w:tcMar>
              <w:top w:w="50" w:type="dxa"/>
              <w:left w:w="55" w:type="dxa"/>
              <w:bottom w:w="50" w:type="dxa"/>
              <w:right w:w="55" w:type="dxa"/>
            </w:tcMar>
          </w:tcPr>
          <w:p w14:paraId="799DF6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464 F.3d 450</w:t>
            </w:r>
          </w:p>
        </w:tc>
        <w:tc>
          <w:tcPr>
            <w:tcW w:w="4536" w:type="dxa"/>
            <w:tcMar>
              <w:top w:w="50" w:type="dxa"/>
              <w:left w:w="55" w:type="dxa"/>
              <w:bottom w:w="50" w:type="dxa"/>
              <w:right w:w="55" w:type="dxa"/>
            </w:tcMar>
          </w:tcPr>
          <w:p w14:paraId="3C09584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letter stating that suit or attorney referral could occur may be deceptive under the FDCPA if the collector had no intention of taking those actions or rarely did so.</w:t>
            </w:r>
          </w:p>
        </w:tc>
        <w:tc>
          <w:tcPr>
            <w:tcW w:w="3643" w:type="dxa"/>
            <w:tcMar>
              <w:top w:w="50" w:type="dxa"/>
              <w:left w:w="55" w:type="dxa"/>
              <w:bottom w:w="50" w:type="dxa"/>
              <w:right w:w="55" w:type="dxa"/>
            </w:tcMar>
          </w:tcPr>
          <w:p w14:paraId="4D8C141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letter, deadlines, threatened actions, collector policies, litigation history, account records, and consumer response.</w:t>
            </w:r>
          </w:p>
        </w:tc>
      </w:tr>
    </w:tbl>
    <w:p w14:paraId="7FB4F56C" w14:textId="77777777" w:rsidR="00756B19" w:rsidRPr="00566B6A" w:rsidRDefault="00756B19">
      <w:pPr>
        <w:spacing w:after="20"/>
        <w:rPr>
          <w:rFonts w:ascii="Courier New" w:hAnsi="Courier New" w:cs="Courier New"/>
          <w:sz w:val="22"/>
        </w:rPr>
      </w:pPr>
    </w:p>
    <w:p w14:paraId="5C382FC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728D2BAC"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2CD14B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744BAFE4"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16A7B7F7"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duties concerning accuracy, reinvestigation, dispute processing, and reporting. Delaware claims that duplicate or conflict with those duties may be preemption-sensitive.</w:t>
      </w:r>
    </w:p>
    <w:p w14:paraId="3B493534" w14:textId="77777777" w:rsidR="00964317" w:rsidRPr="00566B6A" w:rsidRDefault="00964317">
      <w:pPr>
        <w:spacing w:after="60"/>
        <w:rPr>
          <w:rFonts w:ascii="Courier New" w:hAnsi="Courier New" w:cs="Courier New"/>
          <w:sz w:val="22"/>
        </w:rPr>
      </w:pPr>
    </w:p>
    <w:p w14:paraId="028AE7C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13E6D9EE" w14:textId="77777777">
        <w:trPr>
          <w:cantSplit/>
          <w:tblHeader/>
          <w:jc w:val="center"/>
        </w:trPr>
        <w:tc>
          <w:tcPr>
            <w:tcW w:w="2232" w:type="dxa"/>
            <w:shd w:val="clear" w:color="auto" w:fill="D9EAF7"/>
            <w:tcMar>
              <w:top w:w="55" w:type="dxa"/>
              <w:left w:w="55" w:type="dxa"/>
              <w:bottom w:w="55" w:type="dxa"/>
              <w:right w:w="55" w:type="dxa"/>
            </w:tcMar>
            <w:vAlign w:val="center"/>
          </w:tcPr>
          <w:p w14:paraId="25E9A51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0F7026C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Delaware Authority</w:t>
            </w:r>
          </w:p>
        </w:tc>
        <w:tc>
          <w:tcPr>
            <w:tcW w:w="1080" w:type="dxa"/>
            <w:shd w:val="clear" w:color="auto" w:fill="D9EAF7"/>
            <w:tcMar>
              <w:top w:w="55" w:type="dxa"/>
              <w:left w:w="55" w:type="dxa"/>
              <w:bottom w:w="55" w:type="dxa"/>
              <w:right w:w="55" w:type="dxa"/>
            </w:tcMar>
            <w:vAlign w:val="center"/>
          </w:tcPr>
          <w:p w14:paraId="5C8B5CB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697148A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39FC020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28D2C897" w14:textId="77777777">
        <w:trPr>
          <w:cantSplit/>
          <w:jc w:val="center"/>
        </w:trPr>
        <w:tc>
          <w:tcPr>
            <w:tcW w:w="2232" w:type="dxa"/>
            <w:tcMar>
              <w:top w:w="50" w:type="dxa"/>
              <w:left w:w="55" w:type="dxa"/>
              <w:bottom w:w="50" w:type="dxa"/>
              <w:right w:w="55" w:type="dxa"/>
            </w:tcMar>
          </w:tcPr>
          <w:p w14:paraId="1A433D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20AC7FD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6 Del. C. §§ 2201–2205 primarily address freezes and identity protection</w:t>
            </w:r>
          </w:p>
        </w:tc>
        <w:tc>
          <w:tcPr>
            <w:tcW w:w="1080" w:type="dxa"/>
            <w:tcMar>
              <w:top w:w="50" w:type="dxa"/>
              <w:left w:w="55" w:type="dxa"/>
              <w:bottom w:w="50" w:type="dxa"/>
              <w:right w:w="55" w:type="dxa"/>
            </w:tcMar>
          </w:tcPr>
          <w:p w14:paraId="14B1893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79EAC81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3F0B1F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FCRA dispute and method-of-verification records; avoid asserting parallel Delaware accuracy duties without authority.</w:t>
            </w:r>
          </w:p>
        </w:tc>
      </w:tr>
      <w:tr w:rsidR="00756B19" w:rsidRPr="00566B6A" w14:paraId="6910D1DB" w14:textId="77777777">
        <w:trPr>
          <w:cantSplit/>
          <w:jc w:val="center"/>
        </w:trPr>
        <w:tc>
          <w:tcPr>
            <w:tcW w:w="2232" w:type="dxa"/>
            <w:shd w:val="clear" w:color="auto" w:fill="F7FAFC"/>
            <w:tcMar>
              <w:top w:w="50" w:type="dxa"/>
              <w:left w:w="55" w:type="dxa"/>
              <w:bottom w:w="50" w:type="dxa"/>
              <w:right w:w="55" w:type="dxa"/>
            </w:tcMar>
          </w:tcPr>
          <w:p w14:paraId="396618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1CB88A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Delaware law only for factually distinct conduct</w:t>
            </w:r>
          </w:p>
        </w:tc>
        <w:tc>
          <w:tcPr>
            <w:tcW w:w="1080" w:type="dxa"/>
            <w:shd w:val="clear" w:color="auto" w:fill="F7FAFC"/>
            <w:tcMar>
              <w:top w:w="50" w:type="dxa"/>
              <w:left w:w="55" w:type="dxa"/>
              <w:bottom w:w="50" w:type="dxa"/>
              <w:right w:w="55" w:type="dxa"/>
            </w:tcMar>
          </w:tcPr>
          <w:p w14:paraId="6EA8E20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5FF4CC7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4D55A11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15 U.S.C. § 1681s-2 and preserve the bureau-dispute notice trail.</w:t>
            </w:r>
          </w:p>
        </w:tc>
      </w:tr>
      <w:tr w:rsidR="00756B19" w:rsidRPr="00566B6A" w14:paraId="2E765002" w14:textId="77777777">
        <w:trPr>
          <w:cantSplit/>
          <w:jc w:val="center"/>
        </w:trPr>
        <w:tc>
          <w:tcPr>
            <w:tcW w:w="2232" w:type="dxa"/>
            <w:tcMar>
              <w:top w:w="50" w:type="dxa"/>
              <w:left w:w="55" w:type="dxa"/>
              <w:bottom w:w="50" w:type="dxa"/>
              <w:right w:w="55" w:type="dxa"/>
            </w:tcMar>
          </w:tcPr>
          <w:p w14:paraId="454F9FB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blocking</w:t>
            </w:r>
          </w:p>
        </w:tc>
        <w:tc>
          <w:tcPr>
            <w:tcW w:w="3096" w:type="dxa"/>
            <w:tcMar>
              <w:top w:w="50" w:type="dxa"/>
              <w:left w:w="55" w:type="dxa"/>
              <w:bottom w:w="50" w:type="dxa"/>
              <w:right w:w="55" w:type="dxa"/>
            </w:tcMar>
          </w:tcPr>
          <w:p w14:paraId="1AB0060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11 Del. C. § 854; 6 Del. C. § 2204; federal FCRA</w:t>
            </w:r>
          </w:p>
        </w:tc>
        <w:tc>
          <w:tcPr>
            <w:tcW w:w="1080" w:type="dxa"/>
            <w:tcMar>
              <w:top w:w="50" w:type="dxa"/>
              <w:left w:w="55" w:type="dxa"/>
              <w:bottom w:w="50" w:type="dxa"/>
              <w:right w:w="55" w:type="dxa"/>
            </w:tcMar>
          </w:tcPr>
          <w:p w14:paraId="6DE50C3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0713997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15F3364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police/FTC reports, exact fraudulent items, freeze and block requests, CRA notices, and decisions.</w:t>
            </w:r>
          </w:p>
        </w:tc>
      </w:tr>
      <w:tr w:rsidR="00756B19" w:rsidRPr="00566B6A" w14:paraId="30A20708" w14:textId="77777777">
        <w:trPr>
          <w:cantSplit/>
          <w:jc w:val="center"/>
        </w:trPr>
        <w:tc>
          <w:tcPr>
            <w:tcW w:w="2232" w:type="dxa"/>
            <w:shd w:val="clear" w:color="auto" w:fill="F7FAFC"/>
            <w:tcMar>
              <w:top w:w="50" w:type="dxa"/>
              <w:left w:w="55" w:type="dxa"/>
              <w:bottom w:w="50" w:type="dxa"/>
              <w:right w:w="55" w:type="dxa"/>
            </w:tcMar>
          </w:tcPr>
          <w:p w14:paraId="0BE82D2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6517FAA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30 Del. C. § 2301(a)(11); federal FDCPA</w:t>
            </w:r>
          </w:p>
        </w:tc>
        <w:tc>
          <w:tcPr>
            <w:tcW w:w="1080" w:type="dxa"/>
            <w:shd w:val="clear" w:color="auto" w:fill="F7FAFC"/>
            <w:tcMar>
              <w:top w:w="50" w:type="dxa"/>
              <w:left w:w="55" w:type="dxa"/>
              <w:bottom w:w="50" w:type="dxa"/>
              <w:right w:w="55" w:type="dxa"/>
            </w:tcMar>
          </w:tcPr>
          <w:p w14:paraId="63F7537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224B1AE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365331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Verify business-license status; preserve communications, threats, disputes, account records, and federal limitations timing.</w:t>
            </w:r>
          </w:p>
        </w:tc>
      </w:tr>
      <w:tr w:rsidR="00756B19" w:rsidRPr="00566B6A" w14:paraId="7272E354" w14:textId="77777777">
        <w:trPr>
          <w:cantSplit/>
          <w:jc w:val="center"/>
        </w:trPr>
        <w:tc>
          <w:tcPr>
            <w:tcW w:w="2232" w:type="dxa"/>
            <w:tcMar>
              <w:top w:w="50" w:type="dxa"/>
              <w:left w:w="55" w:type="dxa"/>
              <w:bottom w:w="50" w:type="dxa"/>
              <w:right w:w="55" w:type="dxa"/>
            </w:tcMar>
          </w:tcPr>
          <w:p w14:paraId="52F498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0C9C49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6 Del. C. §§ 2203 and 2205</w:t>
            </w:r>
          </w:p>
        </w:tc>
        <w:tc>
          <w:tcPr>
            <w:tcW w:w="1080" w:type="dxa"/>
            <w:tcMar>
              <w:top w:w="50" w:type="dxa"/>
              <w:left w:w="55" w:type="dxa"/>
              <w:bottom w:w="50" w:type="dxa"/>
              <w:right w:w="55" w:type="dxa"/>
            </w:tcMar>
          </w:tcPr>
          <w:p w14:paraId="62CF531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46B36D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6C7F808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freeze confirmation, release history, third-party recipient notice, lift/removal requests, and damages.</w:t>
            </w:r>
          </w:p>
        </w:tc>
      </w:tr>
      <w:tr w:rsidR="00756B19" w:rsidRPr="00566B6A" w14:paraId="5CB07137" w14:textId="77777777">
        <w:trPr>
          <w:cantSplit/>
          <w:jc w:val="center"/>
        </w:trPr>
        <w:tc>
          <w:tcPr>
            <w:tcW w:w="2232" w:type="dxa"/>
            <w:shd w:val="clear" w:color="auto" w:fill="F7FAFC"/>
            <w:tcMar>
              <w:top w:w="50" w:type="dxa"/>
              <w:left w:w="55" w:type="dxa"/>
              <w:bottom w:w="50" w:type="dxa"/>
              <w:right w:w="55" w:type="dxa"/>
            </w:tcMar>
          </w:tcPr>
          <w:p w14:paraId="3C880C8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4A551FA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6 Del. C. §§ 12B-101–104</w:t>
            </w:r>
          </w:p>
        </w:tc>
        <w:tc>
          <w:tcPr>
            <w:tcW w:w="1080" w:type="dxa"/>
            <w:shd w:val="clear" w:color="auto" w:fill="F7FAFC"/>
            <w:tcMar>
              <w:top w:w="50" w:type="dxa"/>
              <w:left w:w="55" w:type="dxa"/>
              <w:bottom w:w="50" w:type="dxa"/>
              <w:right w:w="55" w:type="dxa"/>
            </w:tcMar>
          </w:tcPr>
          <w:p w14:paraId="3EAC6BF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77B6A6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352B64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breach findings, affected data, resident and AG notices, credit-monitoring offer, dates, and remediation.</w:t>
            </w:r>
          </w:p>
        </w:tc>
      </w:tr>
      <w:tr w:rsidR="00756B19" w:rsidRPr="00566B6A" w14:paraId="7C2AF4F7" w14:textId="77777777">
        <w:trPr>
          <w:cantSplit/>
          <w:jc w:val="center"/>
        </w:trPr>
        <w:tc>
          <w:tcPr>
            <w:tcW w:w="2232" w:type="dxa"/>
            <w:tcMar>
              <w:top w:w="50" w:type="dxa"/>
              <w:left w:w="55" w:type="dxa"/>
              <w:bottom w:w="50" w:type="dxa"/>
              <w:right w:w="55" w:type="dxa"/>
            </w:tcMar>
          </w:tcPr>
          <w:p w14:paraId="77F41F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 practices</w:t>
            </w:r>
          </w:p>
        </w:tc>
        <w:tc>
          <w:tcPr>
            <w:tcW w:w="3096" w:type="dxa"/>
            <w:tcMar>
              <w:top w:w="50" w:type="dxa"/>
              <w:left w:w="55" w:type="dxa"/>
              <w:bottom w:w="50" w:type="dxa"/>
              <w:right w:w="55" w:type="dxa"/>
            </w:tcMar>
          </w:tcPr>
          <w:p w14:paraId="6B6F06E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Delaware CFA, 6 Del. C. §§ 2511–2528</w:t>
            </w:r>
          </w:p>
        </w:tc>
        <w:tc>
          <w:tcPr>
            <w:tcW w:w="1080" w:type="dxa"/>
            <w:tcMar>
              <w:top w:w="50" w:type="dxa"/>
              <w:left w:w="55" w:type="dxa"/>
              <w:bottom w:w="50" w:type="dxa"/>
              <w:right w:w="55" w:type="dxa"/>
            </w:tcMar>
          </w:tcPr>
          <w:p w14:paraId="1D67F5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383D45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21A6197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a distinct merchandising practice, victim status, causation, actual damages, and three-year chronology.</w:t>
            </w:r>
          </w:p>
        </w:tc>
      </w:tr>
    </w:tbl>
    <w:p w14:paraId="17049DAC" w14:textId="77777777" w:rsidR="00756B19" w:rsidRPr="00566B6A" w:rsidRDefault="00756B19">
      <w:pPr>
        <w:spacing w:after="20"/>
        <w:rPr>
          <w:rFonts w:ascii="Courier New" w:hAnsi="Courier New" w:cs="Courier New"/>
          <w:sz w:val="22"/>
        </w:rPr>
      </w:pPr>
    </w:p>
    <w:p w14:paraId="27217F5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w:t>
      </w:r>
      <w:r w:rsidRPr="00566B6A">
        <w:rPr>
          <w:rFonts w:ascii="Courier New" w:hAnsi="Courier New" w:cs="Courier New"/>
          <w:sz w:val="22"/>
        </w:rPr>
        <w:t xml:space="preserve"> identity-theft conduct, deceptive collection communications under federal law, security-freeze violations, breach-notification duties, and CFA conduct factually distinct from CRA or furnisher reporting obligations.</w:t>
      </w:r>
    </w:p>
    <w:p w14:paraId="4B1FEF3F"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 Delaware claims that attempt to impose accuracy, reinvestigation, or furnishing duties parallel to the FCRA without a preserved state provision or factually distinct conduct.</w:t>
      </w:r>
    </w:p>
    <w:p w14:paraId="232A2346"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lastRenderedPageBreak/>
        <w:t>No legal conclusions or outcome predictions are provided.</w:t>
      </w:r>
    </w:p>
    <w:p w14:paraId="2297F0A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39F8D1D3"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19964F3E"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366AAADB"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3529694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10B89AD8"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5 — </w:t>
      </w:r>
      <w:r w:rsidRPr="00566B6A">
        <w:rPr>
          <w:rFonts w:ascii="Courier New" w:hAnsi="Courier New" w:cs="Courier New"/>
          <w:sz w:val="22"/>
        </w:rPr>
        <w:t>File a Delaware complaint with the Division of Consumer Protection, Division of Revenue, or Office of the State Bank Commissioner as the subject and agency jurisdiction require; retain confirmation numbers.</w:t>
      </w:r>
    </w:p>
    <w:p w14:paraId="1518FFFA"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7B20D37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7 — </w:t>
      </w:r>
      <w:r w:rsidRPr="00566B6A">
        <w:rPr>
          <w:rFonts w:ascii="Courier New" w:hAnsi="Courier New" w:cs="Courier New"/>
          <w:sz w:val="22"/>
        </w:rPr>
        <w:t>Escalate unresolved federal issues to the CFPB or FTC after state intake, where appropriate.</w:t>
      </w:r>
    </w:p>
    <w:p w14:paraId="355C63AD"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3468C495" w14:textId="77777777" w:rsidR="00964317" w:rsidRPr="00566B6A" w:rsidRDefault="00964317">
      <w:pPr>
        <w:ind w:left="72"/>
        <w:rPr>
          <w:rFonts w:ascii="Courier New" w:hAnsi="Courier New" w:cs="Courier New"/>
          <w:sz w:val="22"/>
        </w:rPr>
      </w:pPr>
    </w:p>
    <w:p w14:paraId="324A4EB6"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67BA7A00"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7000DC68" w14:textId="77777777">
        <w:trPr>
          <w:cantSplit/>
          <w:tblHeader/>
          <w:jc w:val="center"/>
        </w:trPr>
        <w:tc>
          <w:tcPr>
            <w:tcW w:w="6048" w:type="dxa"/>
            <w:shd w:val="clear" w:color="auto" w:fill="D9EAF7"/>
            <w:tcMar>
              <w:top w:w="55" w:type="dxa"/>
              <w:left w:w="55" w:type="dxa"/>
              <w:bottom w:w="55" w:type="dxa"/>
              <w:right w:w="55" w:type="dxa"/>
            </w:tcMar>
            <w:vAlign w:val="center"/>
          </w:tcPr>
          <w:p w14:paraId="77E742B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7DF66154"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391EBF8D" w14:textId="77777777">
        <w:trPr>
          <w:cantSplit/>
          <w:jc w:val="center"/>
        </w:trPr>
        <w:tc>
          <w:tcPr>
            <w:tcW w:w="6048" w:type="dxa"/>
            <w:tcMar>
              <w:top w:w="50" w:type="dxa"/>
              <w:left w:w="55" w:type="dxa"/>
              <w:bottom w:w="50" w:type="dxa"/>
              <w:right w:w="55" w:type="dxa"/>
            </w:tcMar>
          </w:tcPr>
          <w:p w14:paraId="6C147C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68FC7B9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7E3FB1AE" w14:textId="77777777">
        <w:trPr>
          <w:cantSplit/>
          <w:jc w:val="center"/>
        </w:trPr>
        <w:tc>
          <w:tcPr>
            <w:tcW w:w="6048" w:type="dxa"/>
            <w:shd w:val="clear" w:color="auto" w:fill="F7FAFC"/>
            <w:tcMar>
              <w:top w:w="50" w:type="dxa"/>
              <w:left w:w="55" w:type="dxa"/>
              <w:bottom w:w="50" w:type="dxa"/>
              <w:right w:w="55" w:type="dxa"/>
            </w:tcMar>
          </w:tcPr>
          <w:p w14:paraId="6BA760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0F34F8F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58893FD2" w14:textId="77777777">
        <w:trPr>
          <w:cantSplit/>
          <w:jc w:val="center"/>
        </w:trPr>
        <w:tc>
          <w:tcPr>
            <w:tcW w:w="6048" w:type="dxa"/>
            <w:tcMar>
              <w:top w:w="50" w:type="dxa"/>
              <w:left w:w="55" w:type="dxa"/>
              <w:bottom w:w="50" w:type="dxa"/>
              <w:right w:w="55" w:type="dxa"/>
            </w:tcMar>
          </w:tcPr>
          <w:p w14:paraId="6C9068E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7B14659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3E9551A9" w14:textId="77777777">
        <w:trPr>
          <w:cantSplit/>
          <w:jc w:val="center"/>
        </w:trPr>
        <w:tc>
          <w:tcPr>
            <w:tcW w:w="6048" w:type="dxa"/>
            <w:shd w:val="clear" w:color="auto" w:fill="F7FAFC"/>
            <w:tcMar>
              <w:top w:w="50" w:type="dxa"/>
              <w:left w:w="55" w:type="dxa"/>
              <w:bottom w:w="50" w:type="dxa"/>
              <w:right w:w="55" w:type="dxa"/>
            </w:tcMar>
          </w:tcPr>
          <w:p w14:paraId="2462348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Delaware DOJ / Revenue / Banking complaint + agency ID</w:t>
            </w:r>
          </w:p>
        </w:tc>
        <w:tc>
          <w:tcPr>
            <w:tcW w:w="8352" w:type="dxa"/>
            <w:shd w:val="clear" w:color="auto" w:fill="F7FAFC"/>
            <w:tcMar>
              <w:top w:w="50" w:type="dxa"/>
              <w:left w:w="55" w:type="dxa"/>
              <w:bottom w:w="50" w:type="dxa"/>
              <w:right w:w="55" w:type="dxa"/>
            </w:tcMar>
          </w:tcPr>
          <w:p w14:paraId="668605B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6587494E" w14:textId="77777777">
        <w:trPr>
          <w:cantSplit/>
          <w:jc w:val="center"/>
        </w:trPr>
        <w:tc>
          <w:tcPr>
            <w:tcW w:w="6048" w:type="dxa"/>
            <w:tcMar>
              <w:top w:w="50" w:type="dxa"/>
              <w:left w:w="55" w:type="dxa"/>
              <w:bottom w:w="50" w:type="dxa"/>
              <w:right w:w="55" w:type="dxa"/>
            </w:tcMar>
          </w:tcPr>
          <w:p w14:paraId="016A8BA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6F7B3AA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378F8AF5" w14:textId="77777777">
        <w:trPr>
          <w:cantSplit/>
          <w:jc w:val="center"/>
        </w:trPr>
        <w:tc>
          <w:tcPr>
            <w:tcW w:w="6048" w:type="dxa"/>
            <w:shd w:val="clear" w:color="auto" w:fill="F7FAFC"/>
            <w:tcMar>
              <w:top w:w="50" w:type="dxa"/>
              <w:left w:w="55" w:type="dxa"/>
              <w:bottom w:w="50" w:type="dxa"/>
              <w:right w:w="55" w:type="dxa"/>
            </w:tcMar>
          </w:tcPr>
          <w:p w14:paraId="121412C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2720FCD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25D5992D" w14:textId="77777777">
        <w:trPr>
          <w:cantSplit/>
          <w:jc w:val="center"/>
        </w:trPr>
        <w:tc>
          <w:tcPr>
            <w:tcW w:w="6048" w:type="dxa"/>
            <w:tcMar>
              <w:top w:w="50" w:type="dxa"/>
              <w:left w:w="55" w:type="dxa"/>
              <w:bottom w:w="50" w:type="dxa"/>
              <w:right w:w="55" w:type="dxa"/>
            </w:tcMar>
          </w:tcPr>
          <w:p w14:paraId="18D2B9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Delaware CFA practice, victim-status, causation, and damages evidence</w:t>
            </w:r>
          </w:p>
        </w:tc>
        <w:tc>
          <w:tcPr>
            <w:tcW w:w="8352" w:type="dxa"/>
            <w:tcMar>
              <w:top w:w="50" w:type="dxa"/>
              <w:left w:w="55" w:type="dxa"/>
              <w:bottom w:w="50" w:type="dxa"/>
              <w:right w:w="55" w:type="dxa"/>
            </w:tcMar>
          </w:tcPr>
          <w:p w14:paraId="67182F2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Unlawful practice, connection to merchandise, victim status, causation, damages, and three-year timing</w:t>
            </w:r>
          </w:p>
        </w:tc>
      </w:tr>
    </w:tbl>
    <w:p w14:paraId="0E621B0F" w14:textId="77777777" w:rsidR="00756B19" w:rsidRPr="00566B6A" w:rsidRDefault="00756B19">
      <w:pPr>
        <w:spacing w:after="20"/>
        <w:rPr>
          <w:rFonts w:ascii="Courier New" w:hAnsi="Courier New" w:cs="Courier New"/>
          <w:sz w:val="22"/>
        </w:rPr>
      </w:pPr>
    </w:p>
    <w:p w14:paraId="64B4BB67"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04865E0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31D1CC7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589DEB9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3D63CB1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3872CC8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271E3AF4"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Delaware CFA victim-status, causation, damages, and three-year statutory-limitations review</w:t>
      </w:r>
    </w:p>
    <w:p w14:paraId="4DC8748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business-license status and federal FDCPA communication review</w:t>
      </w:r>
    </w:p>
    <w:p w14:paraId="1E2B9A1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Findings-rejection protocol when an item is marked “verified” without a disclosed methodology</w:t>
      </w:r>
    </w:p>
    <w:p w14:paraId="09C2400B"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7C1F8C82"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615E3F0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Delaware (DE)</w:t>
      </w:r>
    </w:p>
    <w:p w14:paraId="77A3D2D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62DD6FC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Delaware Consumer Fraud Act (CFA) | </w:t>
      </w:r>
      <w:r w:rsidRPr="00566B6A">
        <w:rPr>
          <w:rFonts w:ascii="Courier New" w:hAnsi="Courier New" w:cs="Courier New"/>
          <w:sz w:val="22"/>
        </w:rPr>
        <w:t>6 Del. C. §§ 2511–2528 | Remedies: private action for qualifying victims; actual damages and potential punitive damages under applicable case law; public injunction, restitution, rescission, disgorgement, and civil penalties. | Authority: Delaware DOJ / courts.</w:t>
      </w:r>
    </w:p>
    <w:p w14:paraId="64152889"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Delaware Collection-Agency Business License | </w:t>
      </w:r>
      <w:r w:rsidRPr="00566B6A">
        <w:rPr>
          <w:rFonts w:ascii="Courier New" w:hAnsi="Courier New" w:cs="Courier New"/>
          <w:sz w:val="22"/>
        </w:rPr>
        <w:t>30 Del. C. § 2301(a)(11) | Remedies: business-license and tax compliance; federal FDCPA remedies may apply separately to qualifying debt collectors. | Authority: Delaware Division of Revenue / courts applying federal law.</w:t>
      </w:r>
    </w:p>
    <w:p w14:paraId="1AC0FF6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Delaware Clean Credit and Identity Theft Prevention Act | </w:t>
      </w:r>
      <w:r w:rsidRPr="00566B6A">
        <w:rPr>
          <w:rFonts w:ascii="Courier New" w:hAnsi="Courier New" w:cs="Courier New"/>
          <w:sz w:val="22"/>
        </w:rPr>
        <w:t>6 Del. C. §§ 2201–2205 | Remedies: security-freeze and protected-consumer procedures; injunctive relief, civil penalties, other damages, expenses, costs, and fees for qualifying negligent releases. | Authority: courts / CRAs.</w:t>
      </w:r>
    </w:p>
    <w:p w14:paraId="791351B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lastRenderedPageBreak/>
        <w:t xml:space="preserve">Delaware Personal Data Security Act | </w:t>
      </w:r>
      <w:r w:rsidRPr="00566B6A">
        <w:rPr>
          <w:rFonts w:ascii="Courier New" w:hAnsi="Courier New" w:cs="Courier New"/>
          <w:sz w:val="22"/>
        </w:rPr>
        <w:t>6 Del. C. §§ 12B-101–12B-104 | Remedies: resident and Attorney General notice, credit monitoring where required, and Attorney General enforcement. | Authority: Delaware Attorney General.</w:t>
      </w:r>
    </w:p>
    <w:p w14:paraId="7532828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Delaware Identity-Theft and Police-Report Provisions | </w:t>
      </w:r>
      <w:r w:rsidRPr="00566B6A">
        <w:rPr>
          <w:rFonts w:ascii="Courier New" w:hAnsi="Courier New" w:cs="Courier New"/>
          <w:sz w:val="22"/>
        </w:rPr>
        <w:t>11 Del. C. § 854 and 6 Del. C. § 2204 | Remedies: criminal penalties, mandatory local police-report intake, and identity-restoration documentation. | Authority: law enforcement / courts.</w:t>
      </w:r>
    </w:p>
    <w:p w14:paraId="2DC6D6A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40259B83"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Delaware Collection-Agency Licensing — </w:t>
      </w:r>
      <w:r w:rsidRPr="00566B6A">
        <w:rPr>
          <w:rFonts w:ascii="Courier New" w:hAnsi="Courier New" w:cs="Courier New"/>
          <w:sz w:val="22"/>
        </w:rPr>
        <w:t>consult current Division of Revenue business-license guidance and local licensing requirements. No comprehensive Delaware collector-conduct regulation is identified in this module; verify federal FDCPA coverage.</w:t>
      </w:r>
    </w:p>
    <w:p w14:paraId="7DCBB811"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0B616F5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Delaware Department of Justice — Division of Consumer Protection: </w:t>
      </w:r>
      <w:r w:rsidRPr="00566B6A">
        <w:rPr>
          <w:rFonts w:ascii="Courier New" w:hAnsi="Courier New" w:cs="Courier New"/>
          <w:sz w:val="22"/>
        </w:rPr>
        <w:t>consumer complaint intake, investigation, administrative relief, restitution, and CFA enforcement.</w:t>
      </w:r>
    </w:p>
    <w:p w14:paraId="33F85C1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Delaware Division of Revenue: </w:t>
      </w:r>
      <w:r w:rsidRPr="00566B6A">
        <w:rPr>
          <w:rFonts w:ascii="Courier New" w:hAnsi="Courier New" w:cs="Courier New"/>
          <w:sz w:val="22"/>
        </w:rPr>
        <w:t>collection-agency business-license registration, renewal, and occupational-license compliance.</w:t>
      </w:r>
    </w:p>
    <w:p w14:paraId="59F23DF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Delaware Office of the State Bank Commissioner: </w:t>
      </w:r>
      <w:r w:rsidRPr="00566B6A">
        <w:rPr>
          <w:rFonts w:ascii="Courier New" w:hAnsi="Courier New" w:cs="Courier New"/>
          <w:sz w:val="22"/>
        </w:rPr>
        <w:t>complaints concerning Delaware-chartered institutions and covered financial-service providers.</w:t>
      </w:r>
    </w:p>
    <w:p w14:paraId="3D3F20F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Ordinances</w:t>
      </w:r>
    </w:p>
    <w:p w14:paraId="39E16CF7"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the controlling authority for credit-reporting disputes; none are identified as directly applicable in Delaware without municipal verification.</w:t>
      </w:r>
    </w:p>
    <w:p w14:paraId="181E1E84" w14:textId="77777777" w:rsidR="00964317" w:rsidRPr="00566B6A" w:rsidRDefault="00964317">
      <w:pPr>
        <w:spacing w:after="60"/>
        <w:rPr>
          <w:rFonts w:ascii="Courier New" w:hAnsi="Courier New" w:cs="Courier New"/>
          <w:sz w:val="22"/>
        </w:rPr>
      </w:pPr>
    </w:p>
    <w:p w14:paraId="56857F2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584147E6" w14:textId="77777777">
        <w:trPr>
          <w:cantSplit/>
          <w:tblHeader/>
          <w:jc w:val="center"/>
        </w:trPr>
        <w:tc>
          <w:tcPr>
            <w:tcW w:w="2232" w:type="dxa"/>
            <w:shd w:val="clear" w:color="auto" w:fill="D9EAF7"/>
            <w:tcMar>
              <w:top w:w="55" w:type="dxa"/>
              <w:left w:w="55" w:type="dxa"/>
              <w:bottom w:w="55" w:type="dxa"/>
              <w:right w:w="55" w:type="dxa"/>
            </w:tcMar>
            <w:vAlign w:val="center"/>
          </w:tcPr>
          <w:p w14:paraId="5A6CB74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17C078D6"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DE8733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99A18F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57BDB1B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2356E94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9257820" w14:textId="77777777">
        <w:trPr>
          <w:cantSplit/>
          <w:jc w:val="center"/>
        </w:trPr>
        <w:tc>
          <w:tcPr>
            <w:tcW w:w="2232" w:type="dxa"/>
            <w:tcMar>
              <w:top w:w="50" w:type="dxa"/>
              <w:left w:w="55" w:type="dxa"/>
              <w:bottom w:w="50" w:type="dxa"/>
              <w:right w:w="55" w:type="dxa"/>
            </w:tcMar>
          </w:tcPr>
          <w:p w14:paraId="5B70385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Stephenson v. Capano Development, Inc.</w:t>
            </w:r>
          </w:p>
        </w:tc>
        <w:tc>
          <w:tcPr>
            <w:tcW w:w="1152" w:type="dxa"/>
            <w:tcMar>
              <w:top w:w="50" w:type="dxa"/>
              <w:left w:w="55" w:type="dxa"/>
              <w:bottom w:w="50" w:type="dxa"/>
              <w:right w:w="55" w:type="dxa"/>
            </w:tcMar>
          </w:tcPr>
          <w:p w14:paraId="7B2E501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Del. Sup. Ct.</w:t>
            </w:r>
          </w:p>
        </w:tc>
        <w:tc>
          <w:tcPr>
            <w:tcW w:w="748" w:type="dxa"/>
            <w:tcMar>
              <w:top w:w="50" w:type="dxa"/>
              <w:left w:w="55" w:type="dxa"/>
              <w:bottom w:w="50" w:type="dxa"/>
              <w:right w:w="55" w:type="dxa"/>
            </w:tcMar>
          </w:tcPr>
          <w:p w14:paraId="3AC4B2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1983</w:t>
            </w:r>
          </w:p>
        </w:tc>
        <w:tc>
          <w:tcPr>
            <w:tcW w:w="2088" w:type="dxa"/>
            <w:tcMar>
              <w:top w:w="50" w:type="dxa"/>
              <w:left w:w="55" w:type="dxa"/>
              <w:bottom w:w="50" w:type="dxa"/>
              <w:right w:w="55" w:type="dxa"/>
            </w:tcMar>
          </w:tcPr>
          <w:p w14:paraId="26FC8D5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462 A.2d 1069</w:t>
            </w:r>
          </w:p>
        </w:tc>
        <w:tc>
          <w:tcPr>
            <w:tcW w:w="4536" w:type="dxa"/>
            <w:tcMar>
              <w:top w:w="50" w:type="dxa"/>
              <w:left w:w="55" w:type="dxa"/>
              <w:bottom w:w="50" w:type="dxa"/>
              <w:right w:w="55" w:type="dxa"/>
            </w:tcMar>
          </w:tcPr>
          <w:p w14:paraId="41C7AC8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Statutory consumer fraud differs from common-law fraud and does not require actual reliance to establish an unlawful practice. Direct and proximate damages, including increased financing costs, may be recovered.</w:t>
            </w:r>
          </w:p>
        </w:tc>
        <w:tc>
          <w:tcPr>
            <w:tcW w:w="3643" w:type="dxa"/>
            <w:tcMar>
              <w:top w:w="50" w:type="dxa"/>
              <w:left w:w="55" w:type="dxa"/>
              <w:bottom w:w="50" w:type="dxa"/>
              <w:right w:w="55" w:type="dxa"/>
            </w:tcMar>
          </w:tcPr>
          <w:p w14:paraId="2432BA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Document the representation, transaction, causation, financing or valuation difference, actual loss, and damages measure.</w:t>
            </w:r>
          </w:p>
        </w:tc>
      </w:tr>
      <w:tr w:rsidR="00756B19" w:rsidRPr="00566B6A" w14:paraId="51B1DE8E" w14:textId="77777777">
        <w:trPr>
          <w:cantSplit/>
          <w:jc w:val="center"/>
        </w:trPr>
        <w:tc>
          <w:tcPr>
            <w:tcW w:w="2232" w:type="dxa"/>
            <w:shd w:val="clear" w:color="auto" w:fill="F7FAFC"/>
            <w:tcMar>
              <w:top w:w="50" w:type="dxa"/>
              <w:left w:w="55" w:type="dxa"/>
              <w:bottom w:w="50" w:type="dxa"/>
              <w:right w:w="55" w:type="dxa"/>
            </w:tcMar>
          </w:tcPr>
          <w:p w14:paraId="3D7E4FB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Brandywine Volkswagen, Ltd. v. State</w:t>
            </w:r>
          </w:p>
        </w:tc>
        <w:tc>
          <w:tcPr>
            <w:tcW w:w="1152" w:type="dxa"/>
            <w:shd w:val="clear" w:color="auto" w:fill="F7FAFC"/>
            <w:tcMar>
              <w:top w:w="50" w:type="dxa"/>
              <w:left w:w="55" w:type="dxa"/>
              <w:bottom w:w="50" w:type="dxa"/>
              <w:right w:w="55" w:type="dxa"/>
            </w:tcMar>
          </w:tcPr>
          <w:p w14:paraId="31C6305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Del. Sup. Ct.</w:t>
            </w:r>
          </w:p>
        </w:tc>
        <w:tc>
          <w:tcPr>
            <w:tcW w:w="748" w:type="dxa"/>
            <w:shd w:val="clear" w:color="auto" w:fill="F7FAFC"/>
            <w:tcMar>
              <w:top w:w="50" w:type="dxa"/>
              <w:left w:w="55" w:type="dxa"/>
              <w:bottom w:w="50" w:type="dxa"/>
              <w:right w:w="55" w:type="dxa"/>
            </w:tcMar>
          </w:tcPr>
          <w:p w14:paraId="1B3997A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1973</w:t>
            </w:r>
          </w:p>
        </w:tc>
        <w:tc>
          <w:tcPr>
            <w:tcW w:w="2088" w:type="dxa"/>
            <w:shd w:val="clear" w:color="auto" w:fill="F7FAFC"/>
            <w:tcMar>
              <w:top w:w="50" w:type="dxa"/>
              <w:left w:w="55" w:type="dxa"/>
              <w:bottom w:w="50" w:type="dxa"/>
              <w:right w:w="55" w:type="dxa"/>
            </w:tcMar>
          </w:tcPr>
          <w:p w14:paraId="0B7AD86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312 A.2d 632</w:t>
            </w:r>
          </w:p>
        </w:tc>
        <w:tc>
          <w:tcPr>
            <w:tcW w:w="4536" w:type="dxa"/>
            <w:shd w:val="clear" w:color="auto" w:fill="F7FAFC"/>
            <w:tcMar>
              <w:top w:w="50" w:type="dxa"/>
              <w:left w:w="55" w:type="dxa"/>
              <w:bottom w:w="50" w:type="dxa"/>
              <w:right w:w="55" w:type="dxa"/>
            </w:tcMar>
          </w:tcPr>
          <w:p w14:paraId="02CCA3E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Lack of intent to make an untrue statement was not a defense where a dealer failed to disclose known mileage information and confirmed an inaccurate odometer reading.</w:t>
            </w:r>
          </w:p>
        </w:tc>
        <w:tc>
          <w:tcPr>
            <w:tcW w:w="3643" w:type="dxa"/>
            <w:shd w:val="clear" w:color="auto" w:fill="F7FAFC"/>
            <w:tcMar>
              <w:top w:w="50" w:type="dxa"/>
              <w:left w:w="55" w:type="dxa"/>
              <w:bottom w:w="50" w:type="dxa"/>
              <w:right w:w="55" w:type="dxa"/>
            </w:tcMar>
          </w:tcPr>
          <w:p w14:paraId="7FB8055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advertisements, sales statements, internal/title/mileage records, disclosure requests, and contradictory information.</w:t>
            </w:r>
          </w:p>
        </w:tc>
      </w:tr>
      <w:tr w:rsidR="00756B19" w:rsidRPr="00566B6A" w14:paraId="417F371C" w14:textId="77777777">
        <w:trPr>
          <w:cantSplit/>
          <w:jc w:val="center"/>
        </w:trPr>
        <w:tc>
          <w:tcPr>
            <w:tcW w:w="2232" w:type="dxa"/>
            <w:tcMar>
              <w:top w:w="50" w:type="dxa"/>
              <w:left w:w="55" w:type="dxa"/>
              <w:bottom w:w="50" w:type="dxa"/>
              <w:right w:w="55" w:type="dxa"/>
            </w:tcMar>
          </w:tcPr>
          <w:p w14:paraId="2FB3D96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Brown v. Card Service Center</w:t>
            </w:r>
          </w:p>
        </w:tc>
        <w:tc>
          <w:tcPr>
            <w:tcW w:w="1152" w:type="dxa"/>
            <w:tcMar>
              <w:top w:w="50" w:type="dxa"/>
              <w:left w:w="55" w:type="dxa"/>
              <w:bottom w:w="50" w:type="dxa"/>
              <w:right w:w="55" w:type="dxa"/>
            </w:tcMar>
          </w:tcPr>
          <w:p w14:paraId="21A8533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3d Cir.</w:t>
            </w:r>
          </w:p>
        </w:tc>
        <w:tc>
          <w:tcPr>
            <w:tcW w:w="748" w:type="dxa"/>
            <w:tcMar>
              <w:top w:w="50" w:type="dxa"/>
              <w:left w:w="55" w:type="dxa"/>
              <w:bottom w:w="50" w:type="dxa"/>
              <w:right w:w="55" w:type="dxa"/>
            </w:tcMar>
          </w:tcPr>
          <w:p w14:paraId="518DE03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2006</w:t>
            </w:r>
          </w:p>
        </w:tc>
        <w:tc>
          <w:tcPr>
            <w:tcW w:w="2088" w:type="dxa"/>
            <w:tcMar>
              <w:top w:w="50" w:type="dxa"/>
              <w:left w:w="55" w:type="dxa"/>
              <w:bottom w:w="50" w:type="dxa"/>
              <w:right w:w="55" w:type="dxa"/>
            </w:tcMar>
          </w:tcPr>
          <w:p w14:paraId="4ADF796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464 F.3d 450</w:t>
            </w:r>
          </w:p>
        </w:tc>
        <w:tc>
          <w:tcPr>
            <w:tcW w:w="4536" w:type="dxa"/>
            <w:tcMar>
              <w:top w:w="50" w:type="dxa"/>
              <w:left w:w="55" w:type="dxa"/>
              <w:bottom w:w="50" w:type="dxa"/>
              <w:right w:w="55" w:type="dxa"/>
            </w:tcMar>
          </w:tcPr>
          <w:p w14:paraId="7A40E23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letter stating that suit or attorney referral could occur may be deceptive under the FDCPA if the collector had no intention of taking those actions or rarely did so.</w:t>
            </w:r>
          </w:p>
        </w:tc>
        <w:tc>
          <w:tcPr>
            <w:tcW w:w="3643" w:type="dxa"/>
            <w:tcMar>
              <w:top w:w="50" w:type="dxa"/>
              <w:left w:w="55" w:type="dxa"/>
              <w:bottom w:w="50" w:type="dxa"/>
              <w:right w:w="55" w:type="dxa"/>
            </w:tcMar>
          </w:tcPr>
          <w:p w14:paraId="26345A7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letter, deadlines, threatened actions, collector policies, litigation history, account records, and consumer response.</w:t>
            </w:r>
          </w:p>
        </w:tc>
      </w:tr>
    </w:tbl>
    <w:p w14:paraId="487209A2" w14:textId="77777777" w:rsidR="00756B19" w:rsidRPr="00566B6A" w:rsidRDefault="00756B19">
      <w:pPr>
        <w:spacing w:after="20"/>
        <w:rPr>
          <w:rFonts w:ascii="Courier New" w:hAnsi="Courier New" w:cs="Courier New"/>
          <w:sz w:val="22"/>
        </w:rPr>
      </w:pPr>
    </w:p>
    <w:p w14:paraId="59E86B3C"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4466BF67"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w:t>
      </w:r>
      <w:r w:rsidRPr="00566B6A">
        <w:rPr>
          <w:rFonts w:ascii="Courier New" w:hAnsi="Courier New" w:cs="Courier New"/>
          <w:sz w:val="22"/>
        </w:rPr>
        <w:t xml:space="preserve"> TK-Authority-2026-07-DE</w:t>
      </w:r>
    </w:p>
    <w:p w14:paraId="34C9ADC2"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w:t>
      </w:r>
      <w:r w:rsidRPr="00566B6A">
        <w:rPr>
          <w:rFonts w:ascii="Courier New" w:hAnsi="Courier New" w:cs="Courier New"/>
          <w:sz w:val="22"/>
        </w:rPr>
        <w:t xml:space="preserve"> July 23, 2026</w:t>
      </w:r>
    </w:p>
    <w:p w14:paraId="381BAF1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w:t>
      </w:r>
      <w:r w:rsidRPr="00566B6A">
        <w:rPr>
          <w:rFonts w:ascii="Courier New" w:hAnsi="Courier New" w:cs="Courier New"/>
          <w:sz w:val="22"/>
        </w:rPr>
        <w:t xml:space="preserve"> Federal + DE + WA</w:t>
      </w:r>
    </w:p>
    <w:p w14:paraId="1917CC83"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Citations must be validated against official sources before inclusion. Delaware statutory references in this version were checked against the Delaware Code Online current through May 22, 2026. Federal FCRA authorities were checked against current U.S. Code and Regulation V materials available on July 23, 2026.</w:t>
      </w:r>
    </w:p>
    <w:p w14:paraId="410D6CF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Confidence Flags</w:t>
      </w:r>
    </w:p>
    <w:p w14:paraId="3B1951F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556A203C"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63637DC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7ADD2F4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126BBDE4"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4A609A7C"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 xml:space="preserve">This section was generated using a continuously updated authority library designed to identify relevant federal and Delaware consumer-protection authorities. Statutes, regulations, agency </w:t>
      </w:r>
      <w:r w:rsidRPr="00566B6A">
        <w:rPr>
          <w:rFonts w:ascii="Courier New" w:hAnsi="Courier New" w:cs="Courier New"/>
          <w:sz w:val="22"/>
        </w:rPr>
        <w:lastRenderedPageBreak/>
        <w:t>guidance, and judicial decisions may change over time. This section is educational and informational only and does not constitute legal advice or representation.</w:t>
      </w:r>
    </w:p>
    <w:p w14:paraId="77136BE6"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H — CITATION RULES (MANDATORY)</w:t>
      </w:r>
    </w:p>
    <w:p w14:paraId="3F1F432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2D5F041C"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Delaware Administrative Code citation by agency, title, division, chapter, and section.</w:t>
      </w:r>
    </w:p>
    <w:p w14:paraId="312D65B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5A3D22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68C2169B"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78EA1C7C"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4853BBA1"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4F51EF9F" w14:textId="77777777" w:rsidR="00BD7EED" w:rsidRDefault="00BD7EED">
      <w:pPr>
        <w:keepLines/>
        <w:spacing w:before="40" w:after="0"/>
        <w:rPr>
          <w:rFonts w:ascii="Courier New" w:hAnsi="Courier New" w:cs="Courier New"/>
          <w:i/>
          <w:color w:val="464646"/>
          <w:sz w:val="22"/>
        </w:rPr>
      </w:pPr>
    </w:p>
    <w:p w14:paraId="15628254" w14:textId="77777777" w:rsidR="00BD7EED" w:rsidRDefault="00BD7EED">
      <w:pPr>
        <w:keepLines/>
        <w:spacing w:before="40" w:after="0"/>
        <w:rPr>
          <w:rFonts w:ascii="Courier New" w:hAnsi="Courier New" w:cs="Courier New"/>
          <w:i/>
          <w:color w:val="464646"/>
          <w:sz w:val="22"/>
        </w:rPr>
      </w:pPr>
    </w:p>
    <w:p w14:paraId="7F2E82A4" w14:textId="77777777" w:rsidR="00BD7EED" w:rsidRDefault="00BD7EED">
      <w:pPr>
        <w:keepLines/>
        <w:spacing w:before="40" w:after="0"/>
        <w:rPr>
          <w:rFonts w:ascii="Courier New" w:hAnsi="Courier New" w:cs="Courier New"/>
          <w:i/>
          <w:color w:val="464646"/>
          <w:sz w:val="22"/>
        </w:rPr>
      </w:pPr>
    </w:p>
    <w:p w14:paraId="3656BB46" w14:textId="77777777" w:rsidR="00BD7EED" w:rsidRDefault="00BD7EED">
      <w:pPr>
        <w:keepLines/>
        <w:spacing w:before="40" w:after="0"/>
        <w:rPr>
          <w:rFonts w:ascii="Courier New" w:hAnsi="Courier New" w:cs="Courier New"/>
          <w:i/>
          <w:color w:val="464646"/>
          <w:sz w:val="22"/>
        </w:rPr>
      </w:pPr>
    </w:p>
    <w:p w14:paraId="385B4346" w14:textId="77777777" w:rsidR="00BD7EED" w:rsidRDefault="00BD7EED">
      <w:pPr>
        <w:keepLines/>
        <w:spacing w:before="40" w:after="0"/>
        <w:rPr>
          <w:rFonts w:ascii="Courier New" w:hAnsi="Courier New" w:cs="Courier New"/>
          <w:i/>
          <w:color w:val="464646"/>
          <w:sz w:val="22"/>
        </w:rPr>
      </w:pPr>
    </w:p>
    <w:p w14:paraId="20309BEA" w14:textId="77777777" w:rsidR="00BD7EED" w:rsidRDefault="00BD7EED">
      <w:pPr>
        <w:keepLines/>
        <w:spacing w:before="40" w:after="0"/>
        <w:rPr>
          <w:rFonts w:ascii="Courier New" w:hAnsi="Courier New" w:cs="Courier New"/>
          <w:i/>
          <w:color w:val="464646"/>
          <w:sz w:val="22"/>
        </w:rPr>
      </w:pPr>
    </w:p>
    <w:p w14:paraId="03DA1E6D" w14:textId="77777777" w:rsidR="00BD7EED" w:rsidRDefault="00BD7EED">
      <w:pPr>
        <w:keepLines/>
        <w:spacing w:before="40" w:after="0"/>
        <w:rPr>
          <w:rFonts w:ascii="Courier New" w:hAnsi="Courier New" w:cs="Courier New"/>
          <w:i/>
          <w:color w:val="464646"/>
          <w:sz w:val="22"/>
        </w:rPr>
      </w:pPr>
    </w:p>
    <w:p w14:paraId="61CDFAD6" w14:textId="77777777" w:rsidR="00BD7EED" w:rsidRDefault="00BD7EED">
      <w:pPr>
        <w:keepLines/>
        <w:spacing w:before="40" w:after="0"/>
        <w:rPr>
          <w:rFonts w:ascii="Courier New" w:hAnsi="Courier New" w:cs="Courier New"/>
          <w:i/>
          <w:color w:val="464646"/>
          <w:sz w:val="22"/>
        </w:rPr>
      </w:pPr>
    </w:p>
    <w:p w14:paraId="361CC945" w14:textId="77777777" w:rsidR="00BD7EED" w:rsidRDefault="00BD7EED">
      <w:pPr>
        <w:keepLines/>
        <w:spacing w:before="40" w:after="0"/>
        <w:rPr>
          <w:rFonts w:ascii="Courier New" w:hAnsi="Courier New" w:cs="Courier New"/>
          <w:i/>
          <w:color w:val="464646"/>
          <w:sz w:val="22"/>
        </w:rPr>
      </w:pPr>
    </w:p>
    <w:p w14:paraId="09623AA1" w14:textId="77777777" w:rsidR="00BD7EED" w:rsidRDefault="00BD7EED">
      <w:pPr>
        <w:keepLines/>
        <w:spacing w:before="40" w:after="0"/>
        <w:rPr>
          <w:rFonts w:ascii="Courier New" w:hAnsi="Courier New" w:cs="Courier New"/>
          <w:i/>
          <w:color w:val="464646"/>
          <w:sz w:val="22"/>
        </w:rPr>
      </w:pPr>
    </w:p>
    <w:p w14:paraId="186FEECF" w14:textId="77777777" w:rsidR="00BD7EED" w:rsidRDefault="00BD7EED">
      <w:pPr>
        <w:keepLines/>
        <w:spacing w:before="40" w:after="0"/>
        <w:rPr>
          <w:rFonts w:ascii="Courier New" w:hAnsi="Courier New" w:cs="Courier New"/>
          <w:i/>
          <w:color w:val="464646"/>
          <w:sz w:val="22"/>
        </w:rPr>
      </w:pPr>
    </w:p>
    <w:p w14:paraId="19293725" w14:textId="77777777" w:rsidR="00BD7EED" w:rsidRDefault="00BD7EED">
      <w:pPr>
        <w:keepLines/>
        <w:spacing w:before="40" w:after="0"/>
        <w:rPr>
          <w:rFonts w:ascii="Courier New" w:hAnsi="Courier New" w:cs="Courier New"/>
          <w:i/>
          <w:color w:val="464646"/>
          <w:sz w:val="22"/>
        </w:rPr>
      </w:pPr>
    </w:p>
    <w:p w14:paraId="5D3545E7" w14:textId="77777777" w:rsidR="00BD7EED" w:rsidRDefault="00BD7EED">
      <w:pPr>
        <w:keepLines/>
        <w:spacing w:before="40" w:after="0"/>
        <w:rPr>
          <w:rFonts w:ascii="Courier New" w:hAnsi="Courier New" w:cs="Courier New"/>
          <w:i/>
          <w:color w:val="464646"/>
          <w:sz w:val="22"/>
        </w:rPr>
      </w:pPr>
    </w:p>
    <w:p w14:paraId="5FC7A959" w14:textId="77777777" w:rsidR="00BD7EED" w:rsidRPr="00566B6A" w:rsidRDefault="00BD7EED">
      <w:pPr>
        <w:keepLines/>
        <w:spacing w:before="40" w:after="0"/>
        <w:rPr>
          <w:rFonts w:ascii="Courier New" w:hAnsi="Courier New" w:cs="Courier New"/>
          <w:sz w:val="22"/>
        </w:rPr>
      </w:pPr>
    </w:p>
    <w:p w14:paraId="09B8B3E5" w14:textId="77777777" w:rsidR="009F4443" w:rsidRDefault="001173DE">
      <w:pPr>
        <w:pageBreakBefore/>
      </w:pPr>
      <w:r>
        <w:rPr>
          <w:color w:val="FFFFFF"/>
          <w:sz w:val="2"/>
        </w:rPr>
        <w:lastRenderedPageBreak/>
        <w:t> </w:t>
      </w:r>
    </w:p>
    <w:sectPr w:rsidR="009F4443"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16F97" w14:textId="77777777" w:rsidR="001173DE" w:rsidRDefault="001173DE">
      <w:pPr>
        <w:spacing w:after="0" w:line="240" w:lineRule="auto"/>
      </w:pPr>
      <w:r>
        <w:separator/>
      </w:r>
    </w:p>
  </w:endnote>
  <w:endnote w:type="continuationSeparator" w:id="0">
    <w:p w14:paraId="4C2B55EB" w14:textId="77777777" w:rsidR="001173DE" w:rsidRDefault="001173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994B0"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47BDF" w14:textId="77777777" w:rsidR="001173DE" w:rsidRDefault="001173DE">
      <w:pPr>
        <w:spacing w:after="0" w:line="240" w:lineRule="auto"/>
      </w:pPr>
      <w:r>
        <w:separator/>
      </w:r>
    </w:p>
  </w:footnote>
  <w:footnote w:type="continuationSeparator" w:id="0">
    <w:p w14:paraId="5431BDA9" w14:textId="77777777" w:rsidR="001173DE" w:rsidRDefault="001173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F8E08" w14:textId="77777777" w:rsidR="00756B19" w:rsidRDefault="00F247EE">
    <w:pPr>
      <w:pStyle w:val="Header"/>
      <w:jc w:val="right"/>
    </w:pPr>
    <w:r>
      <w:rPr>
        <w:b/>
        <w:color w:val="505050"/>
        <w:sz w:val="15"/>
      </w:rPr>
      <w:t>GLADIC AI™ — SECTION 3A | DELAWARE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173DE"/>
    <w:rsid w:val="0015074B"/>
    <w:rsid w:val="0029639D"/>
    <w:rsid w:val="00326F90"/>
    <w:rsid w:val="003471A0"/>
    <w:rsid w:val="00463F22"/>
    <w:rsid w:val="00566B6A"/>
    <w:rsid w:val="00655F05"/>
    <w:rsid w:val="006F27AD"/>
    <w:rsid w:val="00736F61"/>
    <w:rsid w:val="00756B19"/>
    <w:rsid w:val="00964317"/>
    <w:rsid w:val="009F4443"/>
    <w:rsid w:val="00AA1D8D"/>
    <w:rsid w:val="00B47730"/>
    <w:rsid w:val="00BD7EED"/>
    <w:rsid w:val="00CB0664"/>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FEFA97"/>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4011</Words>
  <Characters>22863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26821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2026-07-24T01:21:00Z</dcterms:created>
  <dcterms:modified xsi:type="dcterms:W3CDTF">2026-07-24T01:21:00Z</dcterms:modified>
  <cp:category/>
</cp:coreProperties>
</file>