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51E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3771A639" w14:textId="77777777" w:rsidR="00024A47" w:rsidRPr="00024A47" w:rsidRDefault="00024A47">
      <w:pPr>
        <w:spacing w:after="140"/>
        <w:jc w:val="center"/>
        <w:rPr>
          <w:rFonts w:ascii="Courier New" w:hAnsi="Courier New" w:cs="Courier New"/>
          <w:b/>
          <w:sz w:val="22"/>
        </w:rPr>
      </w:pPr>
    </w:p>
    <w:p w14:paraId="1E02AA3B"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674964E2" w14:textId="77777777" w:rsidR="00566B6A" w:rsidRPr="00024A47" w:rsidRDefault="00566B6A" w:rsidP="00566B6A">
      <w:pPr>
        <w:spacing w:after="0"/>
        <w:jc w:val="center"/>
        <w:rPr>
          <w:rFonts w:ascii="Courier New" w:hAnsi="Courier New" w:cs="Courier New"/>
          <w:bCs/>
          <w:sz w:val="22"/>
        </w:rPr>
      </w:pPr>
    </w:p>
    <w:p w14:paraId="05B02EF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530551D4"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0E21050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23CB0E0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Florida (FL)</w:t>
      </w:r>
    </w:p>
    <w:p w14:paraId="3FE4E6C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4B760C6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0AC78AE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428FA4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Florida Deceptive and Unfair Trade Practices Act (FDUTPA)</w:t>
      </w:r>
    </w:p>
    <w:p w14:paraId="5315D29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Fla. Stat. §§ 501.201 through 501.213</w:t>
      </w:r>
    </w:p>
    <w:p w14:paraId="073C435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unconscionable, deceptive, or unfair acts or practices in trade or commerce.</w:t>
      </w:r>
    </w:p>
    <w:p w14:paraId="2DF1518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Fla. Stat. § 501.211 authorizes declaratory/injunctive relief and actual damages; fees and costs are addressed in § 501.2105. The enforcing authority may seek injunction, restitution, and civil penalties up to $10,000 per willful violation under § 501.2075.</w:t>
      </w:r>
    </w:p>
    <w:p w14:paraId="1DD2775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 501.211. A damages claim generally requires a deceptive or unfair practice, causation, and actual damages; reliance is not a separate element. A four-year period generally applies under § 95.11(3)(e), subject to accrual and claim-specific analysis.</w:t>
      </w:r>
    </w:p>
    <w:p w14:paraId="2E39651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Florida Attorney General — Consumer Protection Division; Department of Legal Affairs.</w:t>
      </w:r>
    </w:p>
    <w:p w14:paraId="6AE87321"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7295AD4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review the FCCPA, collector registration requirements, and the federal FDCPA.</w:t>
      </w:r>
    </w:p>
    <w:p w14:paraId="7325530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FCCPA prohibits harassment, deceptive communications, unauthorized disclosures, assertion of nonexistent legal rights, and communications with represented consumers. The FDCPA may apply separately.</w:t>
      </w:r>
    </w:p>
    <w:p w14:paraId="79EF5CC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Fla. Stat. §§ 559.55 through 559.785; 15 U.S.C. §§ 1692 through 1692p.</w:t>
      </w:r>
    </w:p>
    <w:p w14:paraId="6EC8314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Florida Office of Financial Regulation; Florida Attorney General; CFPB and FTC where applicable.</w:t>
      </w:r>
    </w:p>
    <w:p w14:paraId="1116BCDF"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30586F4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Florida has no broad state analogue to the FCRA. Fla. Stat. §§ 501.005 and 501.0051 provide consumer and protected-consumer security-freeze rights; federal law remains the primary accuracy framework.</w:t>
      </w:r>
    </w:p>
    <w:p w14:paraId="4BB206C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freeze under § 501.005; protected-consumer freezes are governed by § 501.0051.</w:t>
      </w:r>
    </w:p>
    <w:p w14:paraId="07BBEB0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FCRA file-disclosure rights and Florida security-freeze procedures.</w:t>
      </w:r>
    </w:p>
    <w:p w14:paraId="4F34050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personal identifiers with the CRA under 15 U.S.C. § 1681i. Evaluate Florida claims separately for FCRA preemption.</w:t>
      </w:r>
    </w:p>
    <w:p w14:paraId="19B1615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Florida freezes, identity-theft law, victim-record access, and breach notice.</w:t>
      </w:r>
    </w:p>
    <w:p w14:paraId="44F110B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 501.005(16) authorizes actual or statutory damages of $100–$1,000, punitive damages for willful violations, costs, and fees. Section 501.0051 addresses protected consumers.</w:t>
      </w:r>
    </w:p>
    <w:p w14:paraId="6F1C0856"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2178B7B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F2DA81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0596AA2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0009DF8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w:t>
      </w:r>
      <w:r w:rsidRPr="00566B6A">
        <w:rPr>
          <w:rFonts w:ascii="Courier New" w:hAnsi="Courier New" w:cs="Courier New"/>
          <w:bCs/>
          <w:sz w:val="22"/>
        </w:rPr>
        <w:lastRenderedPageBreak/>
        <w:t>determine whether the item is inaccurate, record its current status, or delete it in accordance with § 1681i(a)(5). Section 1681i(a)(4) requires the agency to review and consider all relevant information submitted by the consumer.</w:t>
      </w:r>
    </w:p>
    <w:p w14:paraId="15D002B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6805492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2DD42B6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3F92456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697CFCE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AFEC8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w:t>
      </w:r>
      <w:r w:rsidRPr="00566B6A">
        <w:rPr>
          <w:rFonts w:ascii="Courier New" w:hAnsi="Courier New" w:cs="Courier New"/>
          <w:bCs/>
          <w:sz w:val="22"/>
        </w:rPr>
        <w:lastRenderedPageBreak/>
        <w:t>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1B69C0E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431B325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Fla. Stat. § 817.568 criminalizes specified unauthorized use of another person’s personal identification information.</w:t>
      </w:r>
    </w:p>
    <w:p w14:paraId="05662EB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Victim records: Fla. Stat. § 817.032 allows a verified identity-theft victim to request qualifying applications and transaction records.</w:t>
      </w:r>
    </w:p>
    <w:p w14:paraId="3C19C09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Use police/FTC reports, fraud alerts, freezes, creditor notices, transaction records, federal blocking, and bureau disputes.</w:t>
      </w:r>
    </w:p>
    <w:p w14:paraId="42FD887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Preserve reports, freeze confirmations, record requests, creditor notices, bureau responses, and complaint numbers.</w:t>
      </w:r>
    </w:p>
    <w:p w14:paraId="13682401"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1D3A02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Fla. Stat. § 501.171 requires reasonable data security and notice generally within 30 days, subject to statutory exceptions. AG notice is required for 500 or more affected Floridians; nationwide CRA notice applies when more than 1,000 individuals are notified at one time.</w:t>
      </w:r>
    </w:p>
    <w:p w14:paraId="55881E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The operative general Florida breach statute is § 501.171. Current Chapter 501 does not contain §§ 501.172 or 501.173.</w:t>
      </w:r>
    </w:p>
    <w:p w14:paraId="620E6D2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Florida privacy laws may apply; this module is limited to the listed authorities.</w:t>
      </w:r>
    </w:p>
    <w:p w14:paraId="5E7F415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findings, affected data, individual/AG/CRA notices, dates, delay requests, and remediation records.</w:t>
      </w:r>
    </w:p>
    <w:p w14:paraId="52FBB42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D3BF3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Florida Attorney General — Consumer Protection Division: Complaint intake, civil investigation, FDUTPA enforcement, restitution, injunction, and penalties.</w:t>
      </w:r>
    </w:p>
    <w:p w14:paraId="200A5D5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Florida Office of Financial Regulation: Collection-agency registration, complaints, examinations, and enforcement within its jurisdiction.</w:t>
      </w:r>
    </w:p>
    <w:p w14:paraId="48AB7E9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Florida OFR license lookup: Preserve dated registration results, complaint identifiers, and regulator correspondence.</w:t>
      </w:r>
    </w:p>
    <w:p w14:paraId="7624323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5A7F74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Local Ordinances</w:t>
      </w:r>
    </w:p>
    <w:p w14:paraId="77C6EDCE"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Florida without municipal verification.</w:t>
      </w:r>
    </w:p>
    <w:p w14:paraId="259DF7D1" w14:textId="77777777" w:rsidR="00566B6A" w:rsidRPr="00566B6A" w:rsidRDefault="00566B6A" w:rsidP="00566B6A">
      <w:pPr>
        <w:spacing w:after="0"/>
        <w:rPr>
          <w:rFonts w:ascii="Courier New" w:hAnsi="Courier New" w:cs="Courier New"/>
          <w:bCs/>
          <w:sz w:val="22"/>
        </w:rPr>
      </w:pPr>
    </w:p>
    <w:p w14:paraId="3838C9B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708DE5BB" w14:textId="77777777">
        <w:trPr>
          <w:cantSplit/>
          <w:tblHeader/>
          <w:jc w:val="center"/>
        </w:trPr>
        <w:tc>
          <w:tcPr>
            <w:tcW w:w="1440" w:type="dxa"/>
            <w:shd w:val="clear" w:color="auto" w:fill="D9EAF7"/>
            <w:tcMar>
              <w:top w:w="55" w:type="dxa"/>
              <w:left w:w="55" w:type="dxa"/>
              <w:bottom w:w="55" w:type="dxa"/>
              <w:right w:w="55" w:type="dxa"/>
            </w:tcMar>
            <w:vAlign w:val="center"/>
          </w:tcPr>
          <w:p w14:paraId="759E710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5A63F33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47754ED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7A5E056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04028AA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5F665A5E" w14:textId="77777777">
        <w:trPr>
          <w:cantSplit/>
          <w:jc w:val="center"/>
        </w:trPr>
        <w:tc>
          <w:tcPr>
            <w:tcW w:w="1440" w:type="dxa"/>
            <w:tcMar>
              <w:top w:w="50" w:type="dxa"/>
              <w:left w:w="55" w:type="dxa"/>
              <w:bottom w:w="50" w:type="dxa"/>
              <w:right w:w="55" w:type="dxa"/>
            </w:tcMar>
          </w:tcPr>
          <w:p w14:paraId="0EB338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0C8DA9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501.201–213</w:t>
            </w:r>
          </w:p>
        </w:tc>
        <w:tc>
          <w:tcPr>
            <w:tcW w:w="3168" w:type="dxa"/>
            <w:tcMar>
              <w:top w:w="50" w:type="dxa"/>
              <w:left w:w="55" w:type="dxa"/>
              <w:bottom w:w="50" w:type="dxa"/>
              <w:right w:w="55" w:type="dxa"/>
            </w:tcMar>
          </w:tcPr>
          <w:p w14:paraId="319C4A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FDUTPA — deceptive/unfair trade practices</w:t>
            </w:r>
          </w:p>
        </w:tc>
        <w:tc>
          <w:tcPr>
            <w:tcW w:w="3456" w:type="dxa"/>
            <w:tcMar>
              <w:top w:w="50" w:type="dxa"/>
              <w:left w:w="55" w:type="dxa"/>
              <w:bottom w:w="50" w:type="dxa"/>
              <w:right w:w="55" w:type="dxa"/>
            </w:tcMar>
          </w:tcPr>
          <w:p w14:paraId="53D06E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injunction; fees; AG restitution/penalties</w:t>
            </w:r>
          </w:p>
        </w:tc>
        <w:tc>
          <w:tcPr>
            <w:tcW w:w="3888" w:type="dxa"/>
            <w:tcMar>
              <w:top w:w="50" w:type="dxa"/>
              <w:left w:w="55" w:type="dxa"/>
              <w:bottom w:w="50" w:type="dxa"/>
              <w:right w:w="55" w:type="dxa"/>
            </w:tcMar>
          </w:tcPr>
          <w:p w14:paraId="7E3C03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complaint; transaction; causation chronology; damages</w:t>
            </w:r>
          </w:p>
        </w:tc>
      </w:tr>
      <w:tr w:rsidR="00756B19" w:rsidRPr="00566B6A" w14:paraId="033492C4" w14:textId="77777777">
        <w:trPr>
          <w:cantSplit/>
          <w:jc w:val="center"/>
        </w:trPr>
        <w:tc>
          <w:tcPr>
            <w:tcW w:w="1440" w:type="dxa"/>
            <w:shd w:val="clear" w:color="auto" w:fill="F7FAFC"/>
            <w:tcMar>
              <w:top w:w="50" w:type="dxa"/>
              <w:left w:w="55" w:type="dxa"/>
              <w:bottom w:w="50" w:type="dxa"/>
              <w:right w:w="55" w:type="dxa"/>
            </w:tcMar>
          </w:tcPr>
          <w:p w14:paraId="74A5A3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117DB6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559.55–785</w:t>
            </w:r>
          </w:p>
        </w:tc>
        <w:tc>
          <w:tcPr>
            <w:tcW w:w="3168" w:type="dxa"/>
            <w:shd w:val="clear" w:color="auto" w:fill="F7FAFC"/>
            <w:tcMar>
              <w:top w:w="50" w:type="dxa"/>
              <w:left w:w="55" w:type="dxa"/>
              <w:bottom w:w="50" w:type="dxa"/>
              <w:right w:w="55" w:type="dxa"/>
            </w:tcMar>
          </w:tcPr>
          <w:p w14:paraId="1EBBCB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FCCPA — consumer-debt collection conduct</w:t>
            </w:r>
          </w:p>
        </w:tc>
        <w:tc>
          <w:tcPr>
            <w:tcW w:w="3456" w:type="dxa"/>
            <w:shd w:val="clear" w:color="auto" w:fill="F7FAFC"/>
            <w:tcMar>
              <w:top w:w="50" w:type="dxa"/>
              <w:left w:w="55" w:type="dxa"/>
              <w:bottom w:w="50" w:type="dxa"/>
              <w:right w:w="55" w:type="dxa"/>
            </w:tcMar>
          </w:tcPr>
          <w:p w14:paraId="257A11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and up to $1,000 statutory damages; punitive/equitable relief; fees</w:t>
            </w:r>
          </w:p>
        </w:tc>
        <w:tc>
          <w:tcPr>
            <w:tcW w:w="3888" w:type="dxa"/>
            <w:shd w:val="clear" w:color="auto" w:fill="F7FAFC"/>
            <w:tcMar>
              <w:top w:w="50" w:type="dxa"/>
              <w:left w:w="55" w:type="dxa"/>
              <w:bottom w:w="50" w:type="dxa"/>
              <w:right w:w="55" w:type="dxa"/>
            </w:tcMar>
          </w:tcPr>
          <w:p w14:paraId="56F800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Letters; calls/messages; ledger; disputes; counsel notice</w:t>
            </w:r>
          </w:p>
        </w:tc>
      </w:tr>
      <w:tr w:rsidR="00756B19" w:rsidRPr="00566B6A" w14:paraId="39C65577" w14:textId="77777777">
        <w:trPr>
          <w:cantSplit/>
          <w:jc w:val="center"/>
        </w:trPr>
        <w:tc>
          <w:tcPr>
            <w:tcW w:w="1440" w:type="dxa"/>
            <w:tcMar>
              <w:top w:w="50" w:type="dxa"/>
              <w:left w:w="55" w:type="dxa"/>
              <w:bottom w:w="50" w:type="dxa"/>
              <w:right w:w="55" w:type="dxa"/>
            </w:tcMar>
          </w:tcPr>
          <w:p w14:paraId="12EF1B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7A0992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501.005, .0051</w:t>
            </w:r>
          </w:p>
        </w:tc>
        <w:tc>
          <w:tcPr>
            <w:tcW w:w="3168" w:type="dxa"/>
            <w:tcMar>
              <w:top w:w="50" w:type="dxa"/>
              <w:left w:w="55" w:type="dxa"/>
              <w:bottom w:w="50" w:type="dxa"/>
              <w:right w:w="55" w:type="dxa"/>
            </w:tcMar>
          </w:tcPr>
          <w:p w14:paraId="5C43A7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Consumer/protected-consumer freezes</w:t>
            </w:r>
          </w:p>
        </w:tc>
        <w:tc>
          <w:tcPr>
            <w:tcW w:w="3456" w:type="dxa"/>
            <w:tcMar>
              <w:top w:w="50" w:type="dxa"/>
              <w:left w:w="55" w:type="dxa"/>
              <w:bottom w:w="50" w:type="dxa"/>
              <w:right w:w="55" w:type="dxa"/>
            </w:tcMar>
          </w:tcPr>
          <w:p w14:paraId="2A8970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procedures; damages, punitive relief, costs, and fees</w:t>
            </w:r>
          </w:p>
        </w:tc>
        <w:tc>
          <w:tcPr>
            <w:tcW w:w="3888" w:type="dxa"/>
            <w:tcMar>
              <w:top w:w="50" w:type="dxa"/>
              <w:left w:w="55" w:type="dxa"/>
              <w:bottom w:w="50" w:type="dxa"/>
              <w:right w:w="55" w:type="dxa"/>
            </w:tcMar>
          </w:tcPr>
          <w:p w14:paraId="75BB9EC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history; lift/removal; change notice</w:t>
            </w:r>
          </w:p>
        </w:tc>
      </w:tr>
      <w:tr w:rsidR="00756B19" w:rsidRPr="00566B6A" w14:paraId="3CF5AB8D" w14:textId="77777777">
        <w:trPr>
          <w:cantSplit/>
          <w:jc w:val="center"/>
        </w:trPr>
        <w:tc>
          <w:tcPr>
            <w:tcW w:w="1440" w:type="dxa"/>
            <w:shd w:val="clear" w:color="auto" w:fill="F7FAFC"/>
            <w:tcMar>
              <w:top w:w="50" w:type="dxa"/>
              <w:left w:w="55" w:type="dxa"/>
              <w:bottom w:w="50" w:type="dxa"/>
              <w:right w:w="55" w:type="dxa"/>
            </w:tcMar>
          </w:tcPr>
          <w:p w14:paraId="08C979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34503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501.171</w:t>
            </w:r>
          </w:p>
        </w:tc>
        <w:tc>
          <w:tcPr>
            <w:tcW w:w="3168" w:type="dxa"/>
            <w:shd w:val="clear" w:color="auto" w:fill="F7FAFC"/>
            <w:tcMar>
              <w:top w:w="50" w:type="dxa"/>
              <w:left w:w="55" w:type="dxa"/>
              <w:bottom w:w="50" w:type="dxa"/>
              <w:right w:w="55" w:type="dxa"/>
            </w:tcMar>
          </w:tcPr>
          <w:p w14:paraId="04EAB1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security and breach notice</w:t>
            </w:r>
          </w:p>
        </w:tc>
        <w:tc>
          <w:tcPr>
            <w:tcW w:w="3456" w:type="dxa"/>
            <w:shd w:val="clear" w:color="auto" w:fill="F7FAFC"/>
            <w:tcMar>
              <w:top w:w="50" w:type="dxa"/>
              <w:left w:w="55" w:type="dxa"/>
              <w:bottom w:w="50" w:type="dxa"/>
              <w:right w:w="55" w:type="dxa"/>
            </w:tcMar>
          </w:tcPr>
          <w:p w14:paraId="3AABBF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up to $500,000 per breach; no private cause</w:t>
            </w:r>
          </w:p>
        </w:tc>
        <w:tc>
          <w:tcPr>
            <w:tcW w:w="3888" w:type="dxa"/>
            <w:shd w:val="clear" w:color="auto" w:fill="F7FAFC"/>
            <w:tcMar>
              <w:top w:w="50" w:type="dxa"/>
              <w:left w:w="55" w:type="dxa"/>
              <w:bottom w:w="50" w:type="dxa"/>
              <w:right w:w="55" w:type="dxa"/>
            </w:tcMar>
          </w:tcPr>
          <w:p w14:paraId="69DF77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data; dates; AG/CRA notices; remediation</w:t>
            </w:r>
          </w:p>
        </w:tc>
      </w:tr>
      <w:tr w:rsidR="00756B19" w:rsidRPr="00566B6A" w14:paraId="5FE5B368" w14:textId="77777777">
        <w:trPr>
          <w:cantSplit/>
          <w:jc w:val="center"/>
        </w:trPr>
        <w:tc>
          <w:tcPr>
            <w:tcW w:w="1440" w:type="dxa"/>
            <w:tcMar>
              <w:top w:w="50" w:type="dxa"/>
              <w:left w:w="55" w:type="dxa"/>
              <w:bottom w:w="50" w:type="dxa"/>
              <w:right w:w="55" w:type="dxa"/>
            </w:tcMar>
          </w:tcPr>
          <w:p w14:paraId="37C30BF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0AF41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817.568, 817.032</w:t>
            </w:r>
          </w:p>
        </w:tc>
        <w:tc>
          <w:tcPr>
            <w:tcW w:w="3168" w:type="dxa"/>
            <w:tcMar>
              <w:top w:w="50" w:type="dxa"/>
              <w:left w:w="55" w:type="dxa"/>
              <w:bottom w:w="50" w:type="dxa"/>
              <w:right w:w="55" w:type="dxa"/>
            </w:tcMar>
          </w:tcPr>
          <w:p w14:paraId="6E7C0F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victim transaction records</w:t>
            </w:r>
          </w:p>
        </w:tc>
        <w:tc>
          <w:tcPr>
            <w:tcW w:w="3456" w:type="dxa"/>
            <w:tcMar>
              <w:top w:w="50" w:type="dxa"/>
              <w:left w:w="55" w:type="dxa"/>
              <w:bottom w:w="50" w:type="dxa"/>
              <w:right w:w="55" w:type="dxa"/>
            </w:tcMar>
          </w:tcPr>
          <w:p w14:paraId="287E57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Criminal/restoration relief and record access</w:t>
            </w:r>
          </w:p>
        </w:tc>
        <w:tc>
          <w:tcPr>
            <w:tcW w:w="3888" w:type="dxa"/>
            <w:tcMar>
              <w:top w:w="50" w:type="dxa"/>
              <w:left w:w="55" w:type="dxa"/>
              <w:bottom w:w="50" w:type="dxa"/>
              <w:right w:w="55" w:type="dxa"/>
            </w:tcMar>
          </w:tcPr>
          <w:p w14:paraId="11FADC6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applications; notices</w:t>
            </w:r>
          </w:p>
        </w:tc>
      </w:tr>
      <w:tr w:rsidR="00756B19" w:rsidRPr="00566B6A" w14:paraId="24651005" w14:textId="77777777">
        <w:trPr>
          <w:cantSplit/>
          <w:jc w:val="center"/>
        </w:trPr>
        <w:tc>
          <w:tcPr>
            <w:tcW w:w="1440" w:type="dxa"/>
            <w:shd w:val="clear" w:color="auto" w:fill="F7FAFC"/>
            <w:tcMar>
              <w:top w:w="50" w:type="dxa"/>
              <w:left w:w="55" w:type="dxa"/>
              <w:bottom w:w="50" w:type="dxa"/>
              <w:right w:w="55" w:type="dxa"/>
            </w:tcMar>
          </w:tcPr>
          <w:p w14:paraId="0A2076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1A7943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Florida AG — Consumer Protection</w:t>
            </w:r>
          </w:p>
        </w:tc>
        <w:tc>
          <w:tcPr>
            <w:tcW w:w="3168" w:type="dxa"/>
            <w:shd w:val="clear" w:color="auto" w:fill="F7FAFC"/>
            <w:tcMar>
              <w:top w:w="50" w:type="dxa"/>
              <w:left w:w="55" w:type="dxa"/>
              <w:bottom w:w="50" w:type="dxa"/>
              <w:right w:w="55" w:type="dxa"/>
            </w:tcMar>
          </w:tcPr>
          <w:p w14:paraId="3912E6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FDUTPA enforcement</w:t>
            </w:r>
          </w:p>
        </w:tc>
        <w:tc>
          <w:tcPr>
            <w:tcW w:w="3456" w:type="dxa"/>
            <w:shd w:val="clear" w:color="auto" w:fill="F7FAFC"/>
            <w:tcMar>
              <w:top w:w="50" w:type="dxa"/>
              <w:left w:w="55" w:type="dxa"/>
              <w:bottom w:w="50" w:type="dxa"/>
              <w:right w:w="55" w:type="dxa"/>
            </w:tcMar>
          </w:tcPr>
          <w:p w14:paraId="2521651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injunction, restitution, penalties</w:t>
            </w:r>
          </w:p>
        </w:tc>
        <w:tc>
          <w:tcPr>
            <w:tcW w:w="3888" w:type="dxa"/>
            <w:shd w:val="clear" w:color="auto" w:fill="F7FAFC"/>
            <w:tcMar>
              <w:top w:w="50" w:type="dxa"/>
              <w:left w:w="55" w:type="dxa"/>
              <w:bottom w:w="50" w:type="dxa"/>
              <w:right w:w="55" w:type="dxa"/>
            </w:tcMar>
          </w:tcPr>
          <w:p w14:paraId="0D30CE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chronology</w:t>
            </w:r>
          </w:p>
        </w:tc>
      </w:tr>
      <w:tr w:rsidR="00756B19" w:rsidRPr="00566B6A" w14:paraId="65D8F7F7" w14:textId="77777777">
        <w:trPr>
          <w:cantSplit/>
          <w:jc w:val="center"/>
        </w:trPr>
        <w:tc>
          <w:tcPr>
            <w:tcW w:w="1440" w:type="dxa"/>
            <w:tcMar>
              <w:top w:w="50" w:type="dxa"/>
              <w:left w:w="55" w:type="dxa"/>
              <w:bottom w:w="50" w:type="dxa"/>
              <w:right w:w="55" w:type="dxa"/>
            </w:tcMar>
          </w:tcPr>
          <w:p w14:paraId="54244E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0FD453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Florida OFR / Attorney General</w:t>
            </w:r>
          </w:p>
        </w:tc>
        <w:tc>
          <w:tcPr>
            <w:tcW w:w="3168" w:type="dxa"/>
            <w:tcMar>
              <w:top w:w="50" w:type="dxa"/>
              <w:left w:w="55" w:type="dxa"/>
              <w:bottom w:w="50" w:type="dxa"/>
              <w:right w:w="55" w:type="dxa"/>
            </w:tcMar>
          </w:tcPr>
          <w:p w14:paraId="5F8C52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regulated financial entities</w:t>
            </w:r>
          </w:p>
        </w:tc>
        <w:tc>
          <w:tcPr>
            <w:tcW w:w="3456" w:type="dxa"/>
            <w:tcMar>
              <w:top w:w="50" w:type="dxa"/>
              <w:left w:w="55" w:type="dxa"/>
              <w:bottom w:w="50" w:type="dxa"/>
              <w:right w:w="55" w:type="dxa"/>
            </w:tcMar>
          </w:tcPr>
          <w:p w14:paraId="25334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complaints, examinations, enforcement</w:t>
            </w:r>
          </w:p>
        </w:tc>
        <w:tc>
          <w:tcPr>
            <w:tcW w:w="3888" w:type="dxa"/>
            <w:tcMar>
              <w:top w:w="50" w:type="dxa"/>
              <w:left w:w="55" w:type="dxa"/>
              <w:bottom w:w="50" w:type="dxa"/>
              <w:right w:w="55" w:type="dxa"/>
            </w:tcMar>
          </w:tcPr>
          <w:p w14:paraId="3A5B91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lookup; complaint file; regulator response</w:t>
            </w:r>
          </w:p>
        </w:tc>
      </w:tr>
      <w:tr w:rsidR="00756B19" w:rsidRPr="00566B6A" w14:paraId="7E4A2BE0" w14:textId="77777777">
        <w:trPr>
          <w:cantSplit/>
          <w:jc w:val="center"/>
        </w:trPr>
        <w:tc>
          <w:tcPr>
            <w:tcW w:w="1440" w:type="dxa"/>
            <w:shd w:val="clear" w:color="auto" w:fill="F7FAFC"/>
            <w:tcMar>
              <w:top w:w="50" w:type="dxa"/>
              <w:left w:w="55" w:type="dxa"/>
              <w:bottom w:w="50" w:type="dxa"/>
              <w:right w:w="55" w:type="dxa"/>
            </w:tcMar>
          </w:tcPr>
          <w:p w14:paraId="4FADA0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52FF1C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1FF4A1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06E3BCC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69CD26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Florida and federal frameworks</w:t>
            </w:r>
          </w:p>
        </w:tc>
      </w:tr>
      <w:tr w:rsidR="00756B19" w:rsidRPr="00566B6A" w14:paraId="3F012F00" w14:textId="77777777">
        <w:trPr>
          <w:jc w:val="center"/>
        </w:trPr>
        <w:tc>
          <w:tcPr>
            <w:tcW w:w="1440" w:type="dxa"/>
          </w:tcPr>
          <w:p w14:paraId="7E821F7D"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60FF0CFF"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33A285F4"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7CF9AA05"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10FC6D7E"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1E940E0B" w14:textId="77777777">
        <w:trPr>
          <w:jc w:val="center"/>
        </w:trPr>
        <w:tc>
          <w:tcPr>
            <w:tcW w:w="1440" w:type="dxa"/>
          </w:tcPr>
          <w:p w14:paraId="2B74DDA1"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3D674008"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3D1044E1"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342F3AA4"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12E96352"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59F637E4" w14:textId="77777777">
        <w:trPr>
          <w:jc w:val="center"/>
        </w:trPr>
        <w:tc>
          <w:tcPr>
            <w:tcW w:w="1440" w:type="dxa"/>
          </w:tcPr>
          <w:p w14:paraId="30EB79E3"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54AFD4A7"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787DE6AD"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11077D27"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6758EFD9"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55CAFA6C"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66F5DDD8"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Florida (FL)</w:t>
      </w:r>
    </w:p>
    <w:p w14:paraId="014C94CB"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Read requires a specific FCCPA violation; an FDCPA violation does not automatically establish an FCCPA claim.</w:t>
      </w:r>
    </w:p>
    <w:p w14:paraId="71F4E3BE"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446EECD" w14:textId="77777777">
        <w:trPr>
          <w:cantSplit/>
          <w:tblHeader/>
          <w:jc w:val="center"/>
        </w:trPr>
        <w:tc>
          <w:tcPr>
            <w:tcW w:w="2232" w:type="dxa"/>
            <w:shd w:val="clear" w:color="auto" w:fill="D9EAF7"/>
            <w:tcMar>
              <w:top w:w="55" w:type="dxa"/>
              <w:left w:w="55" w:type="dxa"/>
              <w:bottom w:w="55" w:type="dxa"/>
              <w:right w:w="55" w:type="dxa"/>
            </w:tcMar>
            <w:vAlign w:val="center"/>
          </w:tcPr>
          <w:p w14:paraId="5AD1F27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434FFA7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6E48F11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7F55BFD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7AE90A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EEF100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221048B" w14:textId="77777777">
        <w:trPr>
          <w:cantSplit/>
          <w:jc w:val="center"/>
        </w:trPr>
        <w:tc>
          <w:tcPr>
            <w:tcW w:w="2232" w:type="dxa"/>
            <w:tcMar>
              <w:top w:w="50" w:type="dxa"/>
              <w:left w:w="55" w:type="dxa"/>
              <w:bottom w:w="50" w:type="dxa"/>
              <w:right w:w="55" w:type="dxa"/>
            </w:tcMar>
          </w:tcPr>
          <w:p w14:paraId="40441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PNR, Inc. v. Beacon Property Management, Inc.</w:t>
            </w:r>
          </w:p>
        </w:tc>
        <w:tc>
          <w:tcPr>
            <w:tcW w:w="1152" w:type="dxa"/>
            <w:tcMar>
              <w:top w:w="50" w:type="dxa"/>
              <w:left w:w="55" w:type="dxa"/>
              <w:bottom w:w="50" w:type="dxa"/>
              <w:right w:w="55" w:type="dxa"/>
            </w:tcMar>
          </w:tcPr>
          <w:p w14:paraId="103B917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Sup. Ct.</w:t>
            </w:r>
          </w:p>
        </w:tc>
        <w:tc>
          <w:tcPr>
            <w:tcW w:w="748" w:type="dxa"/>
            <w:tcMar>
              <w:top w:w="50" w:type="dxa"/>
              <w:left w:w="55" w:type="dxa"/>
              <w:bottom w:w="50" w:type="dxa"/>
              <w:right w:w="55" w:type="dxa"/>
            </w:tcMar>
          </w:tcPr>
          <w:p w14:paraId="5849443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tcMar>
              <w:top w:w="50" w:type="dxa"/>
              <w:left w:w="55" w:type="dxa"/>
              <w:bottom w:w="50" w:type="dxa"/>
              <w:right w:w="55" w:type="dxa"/>
            </w:tcMar>
          </w:tcPr>
          <w:p w14:paraId="0DCA1F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842 So. 2d 773</w:t>
            </w:r>
          </w:p>
        </w:tc>
        <w:tc>
          <w:tcPr>
            <w:tcW w:w="4536" w:type="dxa"/>
            <w:tcMar>
              <w:top w:w="50" w:type="dxa"/>
              <w:left w:w="55" w:type="dxa"/>
              <w:bottom w:w="50" w:type="dxa"/>
              <w:right w:w="55" w:type="dxa"/>
            </w:tcMar>
          </w:tcPr>
          <w:p w14:paraId="1E299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Defines objective FDUTPA unfairness/deception standards and holds that one act may suffice; no pattern is required.</w:t>
            </w:r>
          </w:p>
        </w:tc>
        <w:tc>
          <w:tcPr>
            <w:tcW w:w="3643" w:type="dxa"/>
            <w:tcMar>
              <w:top w:w="50" w:type="dxa"/>
              <w:left w:w="55" w:type="dxa"/>
              <w:bottom w:w="50" w:type="dxa"/>
              <w:right w:w="55" w:type="dxa"/>
            </w:tcMar>
          </w:tcPr>
          <w:p w14:paraId="3BDDAC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act, why it could mislead or injure consumers, transaction context, causation, and relief.</w:t>
            </w:r>
          </w:p>
        </w:tc>
      </w:tr>
      <w:tr w:rsidR="00756B19" w:rsidRPr="00566B6A" w14:paraId="1CD8E8DA" w14:textId="77777777">
        <w:trPr>
          <w:cantSplit/>
          <w:jc w:val="center"/>
        </w:trPr>
        <w:tc>
          <w:tcPr>
            <w:tcW w:w="2232" w:type="dxa"/>
            <w:shd w:val="clear" w:color="auto" w:fill="F7FAFC"/>
            <w:tcMar>
              <w:top w:w="50" w:type="dxa"/>
              <w:left w:w="55" w:type="dxa"/>
              <w:bottom w:w="50" w:type="dxa"/>
              <w:right w:w="55" w:type="dxa"/>
            </w:tcMar>
          </w:tcPr>
          <w:p w14:paraId="07B815D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Rollins, Inc. v. Butland</w:t>
            </w:r>
          </w:p>
        </w:tc>
        <w:tc>
          <w:tcPr>
            <w:tcW w:w="1152" w:type="dxa"/>
            <w:shd w:val="clear" w:color="auto" w:fill="F7FAFC"/>
            <w:tcMar>
              <w:top w:w="50" w:type="dxa"/>
              <w:left w:w="55" w:type="dxa"/>
              <w:bottom w:w="50" w:type="dxa"/>
              <w:right w:w="55" w:type="dxa"/>
            </w:tcMar>
          </w:tcPr>
          <w:p w14:paraId="3C2A04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shd w:val="clear" w:color="auto" w:fill="F7FAFC"/>
            <w:tcMar>
              <w:top w:w="50" w:type="dxa"/>
              <w:left w:w="55" w:type="dxa"/>
              <w:bottom w:w="50" w:type="dxa"/>
              <w:right w:w="55" w:type="dxa"/>
            </w:tcMar>
          </w:tcPr>
          <w:p w14:paraId="32FBEC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05B2C56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951 So. 2d 860</w:t>
            </w:r>
          </w:p>
        </w:tc>
        <w:tc>
          <w:tcPr>
            <w:tcW w:w="4536" w:type="dxa"/>
            <w:shd w:val="clear" w:color="auto" w:fill="F7FAFC"/>
            <w:tcMar>
              <w:top w:w="50" w:type="dxa"/>
              <w:left w:w="55" w:type="dxa"/>
              <w:bottom w:w="50" w:type="dxa"/>
              <w:right w:w="55" w:type="dxa"/>
            </w:tcMar>
          </w:tcPr>
          <w:p w14:paraId="364C724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FDUTPA damages claim requires deceptive or unfair conduct, causation, and actual damages; the opinion discusses benefit-of-the-bargain damages and excludes consequential loss.</w:t>
            </w:r>
          </w:p>
        </w:tc>
        <w:tc>
          <w:tcPr>
            <w:tcW w:w="3643" w:type="dxa"/>
            <w:shd w:val="clear" w:color="auto" w:fill="F7FAFC"/>
            <w:tcMar>
              <w:top w:w="50" w:type="dxa"/>
              <w:left w:w="55" w:type="dxa"/>
              <w:bottom w:w="50" w:type="dxa"/>
              <w:right w:w="55" w:type="dxa"/>
            </w:tcMar>
          </w:tcPr>
          <w:p w14:paraId="2DC941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promised/delivered value, payments, valuation evidence, causation, and damages calculation.</w:t>
            </w:r>
          </w:p>
        </w:tc>
      </w:tr>
    </w:tbl>
    <w:p w14:paraId="4869BA4D" w14:textId="77777777" w:rsidR="00756B19" w:rsidRPr="00566B6A" w:rsidRDefault="00756B19">
      <w:pPr>
        <w:spacing w:after="20"/>
        <w:rPr>
          <w:rFonts w:ascii="Courier New" w:hAnsi="Courier New" w:cs="Courier New"/>
          <w:sz w:val="22"/>
        </w:rPr>
      </w:pPr>
    </w:p>
    <w:p w14:paraId="1B1D044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1FCE5A0" w14:textId="77777777">
        <w:trPr>
          <w:cantSplit/>
          <w:tblHeader/>
          <w:jc w:val="center"/>
        </w:trPr>
        <w:tc>
          <w:tcPr>
            <w:tcW w:w="2232" w:type="dxa"/>
            <w:shd w:val="clear" w:color="auto" w:fill="D9EAF7"/>
            <w:tcMar>
              <w:top w:w="55" w:type="dxa"/>
              <w:left w:w="55" w:type="dxa"/>
              <w:bottom w:w="55" w:type="dxa"/>
              <w:right w:w="55" w:type="dxa"/>
            </w:tcMar>
            <w:vAlign w:val="center"/>
          </w:tcPr>
          <w:p w14:paraId="4339C54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1A51F21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4C0FFC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B220BB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3428B78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914E7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814F99C" w14:textId="77777777">
        <w:trPr>
          <w:cantSplit/>
          <w:jc w:val="center"/>
        </w:trPr>
        <w:tc>
          <w:tcPr>
            <w:tcW w:w="2232" w:type="dxa"/>
            <w:tcMar>
              <w:top w:w="50" w:type="dxa"/>
              <w:left w:w="55" w:type="dxa"/>
              <w:bottom w:w="50" w:type="dxa"/>
              <w:right w:w="55" w:type="dxa"/>
            </w:tcMar>
          </w:tcPr>
          <w:p w14:paraId="6E021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Read v. MFP, Inc.</w:t>
            </w:r>
          </w:p>
        </w:tc>
        <w:tc>
          <w:tcPr>
            <w:tcW w:w="1152" w:type="dxa"/>
            <w:tcMar>
              <w:top w:w="50" w:type="dxa"/>
              <w:left w:w="55" w:type="dxa"/>
              <w:bottom w:w="50" w:type="dxa"/>
              <w:right w:w="55" w:type="dxa"/>
            </w:tcMar>
          </w:tcPr>
          <w:p w14:paraId="61DB02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tcMar>
              <w:top w:w="50" w:type="dxa"/>
              <w:left w:w="55" w:type="dxa"/>
              <w:bottom w:w="50" w:type="dxa"/>
              <w:right w:w="55" w:type="dxa"/>
            </w:tcMar>
          </w:tcPr>
          <w:p w14:paraId="2A0EA7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0F3938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So. 3d 1151</w:t>
            </w:r>
          </w:p>
        </w:tc>
        <w:tc>
          <w:tcPr>
            <w:tcW w:w="4536" w:type="dxa"/>
            <w:tcMar>
              <w:top w:w="50" w:type="dxa"/>
              <w:left w:w="55" w:type="dxa"/>
              <w:bottom w:w="50" w:type="dxa"/>
              <w:right w:w="55" w:type="dxa"/>
            </w:tcMar>
          </w:tcPr>
          <w:p w14:paraId="213A03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plaintiff must identify a specific FCCPA violation; an FDCPA violation alone is insufficient, and a callback message did not assert a nonexistent legal right.</w:t>
            </w:r>
          </w:p>
        </w:tc>
        <w:tc>
          <w:tcPr>
            <w:tcW w:w="3643" w:type="dxa"/>
            <w:tcMar>
              <w:top w:w="50" w:type="dxa"/>
              <w:left w:w="55" w:type="dxa"/>
              <w:bottom w:w="50" w:type="dxa"/>
              <w:right w:w="55" w:type="dxa"/>
            </w:tcMar>
          </w:tcPr>
          <w:p w14:paraId="49B1E1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subsection and preserve the message, identification request, asserted right, actor status, dates, and harm.</w:t>
            </w:r>
          </w:p>
        </w:tc>
      </w:tr>
    </w:tbl>
    <w:p w14:paraId="67B8AFBC" w14:textId="77777777" w:rsidR="00756B19" w:rsidRPr="00566B6A" w:rsidRDefault="00756B19">
      <w:pPr>
        <w:spacing w:after="20"/>
        <w:rPr>
          <w:rFonts w:ascii="Courier New" w:hAnsi="Courier New" w:cs="Courier New"/>
          <w:sz w:val="22"/>
        </w:rPr>
      </w:pPr>
    </w:p>
    <w:p w14:paraId="333AA5E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31DC4685" w14:textId="77777777">
        <w:trPr>
          <w:cantSplit/>
          <w:tblHeader/>
          <w:jc w:val="center"/>
        </w:trPr>
        <w:tc>
          <w:tcPr>
            <w:tcW w:w="2232" w:type="dxa"/>
            <w:shd w:val="clear" w:color="auto" w:fill="D9EAF7"/>
            <w:tcMar>
              <w:top w:w="55" w:type="dxa"/>
              <w:left w:w="55" w:type="dxa"/>
              <w:bottom w:w="55" w:type="dxa"/>
              <w:right w:w="55" w:type="dxa"/>
            </w:tcMar>
            <w:vAlign w:val="center"/>
          </w:tcPr>
          <w:p w14:paraId="6BFA4F6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CC4F1C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A7BD3D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B7A4DF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E0D264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6981C12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3842AEB" w14:textId="77777777">
        <w:trPr>
          <w:cantSplit/>
          <w:jc w:val="center"/>
        </w:trPr>
        <w:tc>
          <w:tcPr>
            <w:tcW w:w="2232" w:type="dxa"/>
            <w:tcMar>
              <w:top w:w="50" w:type="dxa"/>
              <w:left w:w="55" w:type="dxa"/>
              <w:bottom w:w="50" w:type="dxa"/>
              <w:right w:w="55" w:type="dxa"/>
            </w:tcMar>
          </w:tcPr>
          <w:p w14:paraId="6A8A2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PNR, Inc. v. Beacon Property Management, Inc.</w:t>
            </w:r>
          </w:p>
        </w:tc>
        <w:tc>
          <w:tcPr>
            <w:tcW w:w="1152" w:type="dxa"/>
            <w:tcMar>
              <w:top w:w="50" w:type="dxa"/>
              <w:left w:w="55" w:type="dxa"/>
              <w:bottom w:w="50" w:type="dxa"/>
              <w:right w:w="55" w:type="dxa"/>
            </w:tcMar>
          </w:tcPr>
          <w:p w14:paraId="50724F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Sup. Ct.</w:t>
            </w:r>
          </w:p>
        </w:tc>
        <w:tc>
          <w:tcPr>
            <w:tcW w:w="748" w:type="dxa"/>
            <w:tcMar>
              <w:top w:w="50" w:type="dxa"/>
              <w:left w:w="55" w:type="dxa"/>
              <w:bottom w:w="50" w:type="dxa"/>
              <w:right w:w="55" w:type="dxa"/>
            </w:tcMar>
          </w:tcPr>
          <w:p w14:paraId="4C4F8A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tcMar>
              <w:top w:w="50" w:type="dxa"/>
              <w:left w:w="55" w:type="dxa"/>
              <w:bottom w:w="50" w:type="dxa"/>
              <w:right w:w="55" w:type="dxa"/>
            </w:tcMar>
          </w:tcPr>
          <w:p w14:paraId="226FF6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842 So. 2d 773</w:t>
            </w:r>
          </w:p>
        </w:tc>
        <w:tc>
          <w:tcPr>
            <w:tcW w:w="4536" w:type="dxa"/>
            <w:tcMar>
              <w:top w:w="50" w:type="dxa"/>
              <w:left w:w="55" w:type="dxa"/>
              <w:bottom w:w="50" w:type="dxa"/>
              <w:right w:w="55" w:type="dxa"/>
            </w:tcMar>
          </w:tcPr>
          <w:p w14:paraId="3C5EEDA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Defines objective FDUTPA unfairness/deception standards and holds that one act may suffice; no pattern is required.</w:t>
            </w:r>
          </w:p>
        </w:tc>
        <w:tc>
          <w:tcPr>
            <w:tcW w:w="3643" w:type="dxa"/>
            <w:tcMar>
              <w:top w:w="50" w:type="dxa"/>
              <w:left w:w="55" w:type="dxa"/>
              <w:bottom w:w="50" w:type="dxa"/>
              <w:right w:w="55" w:type="dxa"/>
            </w:tcMar>
          </w:tcPr>
          <w:p w14:paraId="20CF15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act, why it could mislead or injure consumers, transaction context, causation, and relief.</w:t>
            </w:r>
          </w:p>
        </w:tc>
      </w:tr>
      <w:tr w:rsidR="00756B19" w:rsidRPr="00566B6A" w14:paraId="50C26BA8" w14:textId="77777777">
        <w:trPr>
          <w:cantSplit/>
          <w:jc w:val="center"/>
        </w:trPr>
        <w:tc>
          <w:tcPr>
            <w:tcW w:w="2232" w:type="dxa"/>
            <w:shd w:val="clear" w:color="auto" w:fill="F7FAFC"/>
            <w:tcMar>
              <w:top w:w="50" w:type="dxa"/>
              <w:left w:w="55" w:type="dxa"/>
              <w:bottom w:w="50" w:type="dxa"/>
              <w:right w:w="55" w:type="dxa"/>
            </w:tcMar>
          </w:tcPr>
          <w:p w14:paraId="406F64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Rollins, Inc. v. Butland</w:t>
            </w:r>
          </w:p>
        </w:tc>
        <w:tc>
          <w:tcPr>
            <w:tcW w:w="1152" w:type="dxa"/>
            <w:shd w:val="clear" w:color="auto" w:fill="F7FAFC"/>
            <w:tcMar>
              <w:top w:w="50" w:type="dxa"/>
              <w:left w:w="55" w:type="dxa"/>
              <w:bottom w:w="50" w:type="dxa"/>
              <w:right w:w="55" w:type="dxa"/>
            </w:tcMar>
          </w:tcPr>
          <w:p w14:paraId="0C6492E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shd w:val="clear" w:color="auto" w:fill="F7FAFC"/>
            <w:tcMar>
              <w:top w:w="50" w:type="dxa"/>
              <w:left w:w="55" w:type="dxa"/>
              <w:bottom w:w="50" w:type="dxa"/>
              <w:right w:w="55" w:type="dxa"/>
            </w:tcMar>
          </w:tcPr>
          <w:p w14:paraId="0965A5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1B8929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951 So. 2d 860</w:t>
            </w:r>
          </w:p>
        </w:tc>
        <w:tc>
          <w:tcPr>
            <w:tcW w:w="4536" w:type="dxa"/>
            <w:shd w:val="clear" w:color="auto" w:fill="F7FAFC"/>
            <w:tcMar>
              <w:top w:w="50" w:type="dxa"/>
              <w:left w:w="55" w:type="dxa"/>
              <w:bottom w:w="50" w:type="dxa"/>
              <w:right w:w="55" w:type="dxa"/>
            </w:tcMar>
          </w:tcPr>
          <w:p w14:paraId="7810F0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FDUTPA damages claim requires deceptive or unfair conduct, causation, and actual damages; the opinion discusses benefit-of-the-bargain damages and excludes consequential loss.</w:t>
            </w:r>
          </w:p>
        </w:tc>
        <w:tc>
          <w:tcPr>
            <w:tcW w:w="3643" w:type="dxa"/>
            <w:shd w:val="clear" w:color="auto" w:fill="F7FAFC"/>
            <w:tcMar>
              <w:top w:w="50" w:type="dxa"/>
              <w:left w:w="55" w:type="dxa"/>
              <w:bottom w:w="50" w:type="dxa"/>
              <w:right w:w="55" w:type="dxa"/>
            </w:tcMar>
          </w:tcPr>
          <w:p w14:paraId="3CE8F9C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promised/delivered value, payments, valuation evidence, causation, and damages calculation.</w:t>
            </w:r>
          </w:p>
        </w:tc>
      </w:tr>
      <w:tr w:rsidR="00756B19" w:rsidRPr="00566B6A" w14:paraId="0DDD5F71" w14:textId="77777777">
        <w:trPr>
          <w:cantSplit/>
          <w:jc w:val="center"/>
        </w:trPr>
        <w:tc>
          <w:tcPr>
            <w:tcW w:w="2232" w:type="dxa"/>
            <w:tcMar>
              <w:top w:w="50" w:type="dxa"/>
              <w:left w:w="55" w:type="dxa"/>
              <w:bottom w:w="50" w:type="dxa"/>
              <w:right w:w="55" w:type="dxa"/>
            </w:tcMar>
          </w:tcPr>
          <w:p w14:paraId="4DA8E04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Read v. MFP, Inc.</w:t>
            </w:r>
          </w:p>
        </w:tc>
        <w:tc>
          <w:tcPr>
            <w:tcW w:w="1152" w:type="dxa"/>
            <w:tcMar>
              <w:top w:w="50" w:type="dxa"/>
              <w:left w:w="55" w:type="dxa"/>
              <w:bottom w:w="50" w:type="dxa"/>
              <w:right w:w="55" w:type="dxa"/>
            </w:tcMar>
          </w:tcPr>
          <w:p w14:paraId="62AFD7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tcMar>
              <w:top w:w="50" w:type="dxa"/>
              <w:left w:w="55" w:type="dxa"/>
              <w:bottom w:w="50" w:type="dxa"/>
              <w:right w:w="55" w:type="dxa"/>
            </w:tcMar>
          </w:tcPr>
          <w:p w14:paraId="0EE6A62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418171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So. 3d 1151</w:t>
            </w:r>
          </w:p>
        </w:tc>
        <w:tc>
          <w:tcPr>
            <w:tcW w:w="4536" w:type="dxa"/>
            <w:tcMar>
              <w:top w:w="50" w:type="dxa"/>
              <w:left w:w="55" w:type="dxa"/>
              <w:bottom w:w="50" w:type="dxa"/>
              <w:right w:w="55" w:type="dxa"/>
            </w:tcMar>
          </w:tcPr>
          <w:p w14:paraId="1DF59A1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plaintiff must identify a specific FCCPA violation; an FDCPA violation alone is insufficient, and a callback message did not assert a nonexistent legal right.</w:t>
            </w:r>
          </w:p>
        </w:tc>
        <w:tc>
          <w:tcPr>
            <w:tcW w:w="3643" w:type="dxa"/>
            <w:tcMar>
              <w:top w:w="50" w:type="dxa"/>
              <w:left w:w="55" w:type="dxa"/>
              <w:bottom w:w="50" w:type="dxa"/>
              <w:right w:w="55" w:type="dxa"/>
            </w:tcMar>
          </w:tcPr>
          <w:p w14:paraId="7224EE7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subsection and preserve the message, identification request, asserted right, actor status, dates, and harm.</w:t>
            </w:r>
          </w:p>
        </w:tc>
      </w:tr>
    </w:tbl>
    <w:p w14:paraId="00A3309F" w14:textId="77777777" w:rsidR="00756B19" w:rsidRPr="00566B6A" w:rsidRDefault="00756B19">
      <w:pPr>
        <w:spacing w:after="20"/>
        <w:rPr>
          <w:rFonts w:ascii="Courier New" w:hAnsi="Courier New" w:cs="Courier New"/>
          <w:sz w:val="22"/>
        </w:rPr>
      </w:pPr>
    </w:p>
    <w:p w14:paraId="0F8CEA9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2C0FE6B1"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7911D8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3CB501A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070E0379"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disputes, and reporting. Parallel Florida claims may be preemption-sensitive.</w:t>
      </w:r>
    </w:p>
    <w:p w14:paraId="3FA7E038" w14:textId="77777777" w:rsidR="00964317" w:rsidRPr="00566B6A" w:rsidRDefault="00964317">
      <w:pPr>
        <w:spacing w:after="60"/>
        <w:rPr>
          <w:rFonts w:ascii="Courier New" w:hAnsi="Courier New" w:cs="Courier New"/>
          <w:sz w:val="22"/>
        </w:rPr>
      </w:pPr>
    </w:p>
    <w:p w14:paraId="2651A51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1831B90C" w14:textId="77777777">
        <w:trPr>
          <w:cantSplit/>
          <w:tblHeader/>
          <w:jc w:val="center"/>
        </w:trPr>
        <w:tc>
          <w:tcPr>
            <w:tcW w:w="2232" w:type="dxa"/>
            <w:shd w:val="clear" w:color="auto" w:fill="D9EAF7"/>
            <w:tcMar>
              <w:top w:w="55" w:type="dxa"/>
              <w:left w:w="55" w:type="dxa"/>
              <w:bottom w:w="55" w:type="dxa"/>
              <w:right w:w="55" w:type="dxa"/>
            </w:tcMar>
            <w:vAlign w:val="center"/>
          </w:tcPr>
          <w:p w14:paraId="2536B6D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3F1180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Florida Authority</w:t>
            </w:r>
          </w:p>
        </w:tc>
        <w:tc>
          <w:tcPr>
            <w:tcW w:w="1080" w:type="dxa"/>
            <w:shd w:val="clear" w:color="auto" w:fill="D9EAF7"/>
            <w:tcMar>
              <w:top w:w="55" w:type="dxa"/>
              <w:left w:w="55" w:type="dxa"/>
              <w:bottom w:w="55" w:type="dxa"/>
              <w:right w:w="55" w:type="dxa"/>
            </w:tcMar>
            <w:vAlign w:val="center"/>
          </w:tcPr>
          <w:p w14:paraId="1D83DD2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66C8C20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3EC7F5E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131B77B8" w14:textId="77777777">
        <w:trPr>
          <w:cantSplit/>
          <w:jc w:val="center"/>
        </w:trPr>
        <w:tc>
          <w:tcPr>
            <w:tcW w:w="2232" w:type="dxa"/>
            <w:tcMar>
              <w:top w:w="50" w:type="dxa"/>
              <w:left w:w="55" w:type="dxa"/>
              <w:bottom w:w="50" w:type="dxa"/>
              <w:right w:w="55" w:type="dxa"/>
            </w:tcMar>
          </w:tcPr>
          <w:p w14:paraId="4694CD3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55907D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Florida mini-FCRA; §§ 501.005 and 501.0051 address freezes</w:t>
            </w:r>
          </w:p>
        </w:tc>
        <w:tc>
          <w:tcPr>
            <w:tcW w:w="1080" w:type="dxa"/>
            <w:tcMar>
              <w:top w:w="50" w:type="dxa"/>
              <w:left w:w="55" w:type="dxa"/>
              <w:bottom w:w="50" w:type="dxa"/>
              <w:right w:w="55" w:type="dxa"/>
            </w:tcMar>
          </w:tcPr>
          <w:p w14:paraId="2326F55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289FC5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146F76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Florida accuracy duties without authority.</w:t>
            </w:r>
          </w:p>
        </w:tc>
      </w:tr>
      <w:tr w:rsidR="00756B19" w:rsidRPr="00566B6A" w14:paraId="572CFFE4" w14:textId="77777777">
        <w:trPr>
          <w:cantSplit/>
          <w:jc w:val="center"/>
        </w:trPr>
        <w:tc>
          <w:tcPr>
            <w:tcW w:w="2232" w:type="dxa"/>
            <w:shd w:val="clear" w:color="auto" w:fill="F7FAFC"/>
            <w:tcMar>
              <w:top w:w="50" w:type="dxa"/>
              <w:left w:w="55" w:type="dxa"/>
              <w:bottom w:w="50" w:type="dxa"/>
              <w:right w:w="55" w:type="dxa"/>
            </w:tcMar>
          </w:tcPr>
          <w:p w14:paraId="1FCC83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03D79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Florida law only for factually distinct conduct</w:t>
            </w:r>
          </w:p>
        </w:tc>
        <w:tc>
          <w:tcPr>
            <w:tcW w:w="1080" w:type="dxa"/>
            <w:shd w:val="clear" w:color="auto" w:fill="F7FAFC"/>
            <w:tcMar>
              <w:top w:w="50" w:type="dxa"/>
              <w:left w:w="55" w:type="dxa"/>
              <w:bottom w:w="50" w:type="dxa"/>
              <w:right w:w="55" w:type="dxa"/>
            </w:tcMar>
          </w:tcPr>
          <w:p w14:paraId="007ACB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01D647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148897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642D951B" w14:textId="77777777">
        <w:trPr>
          <w:cantSplit/>
          <w:jc w:val="center"/>
        </w:trPr>
        <w:tc>
          <w:tcPr>
            <w:tcW w:w="2232" w:type="dxa"/>
            <w:tcMar>
              <w:top w:w="50" w:type="dxa"/>
              <w:left w:w="55" w:type="dxa"/>
              <w:bottom w:w="50" w:type="dxa"/>
              <w:right w:w="55" w:type="dxa"/>
            </w:tcMar>
          </w:tcPr>
          <w:p w14:paraId="7461B2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630C5A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817.568, 817.032; federal FCRA</w:t>
            </w:r>
          </w:p>
        </w:tc>
        <w:tc>
          <w:tcPr>
            <w:tcW w:w="1080" w:type="dxa"/>
            <w:tcMar>
              <w:top w:w="50" w:type="dxa"/>
              <w:left w:w="55" w:type="dxa"/>
              <w:bottom w:w="50" w:type="dxa"/>
              <w:right w:w="55" w:type="dxa"/>
            </w:tcMar>
          </w:tcPr>
          <w:p w14:paraId="6BE610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40CA4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240162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transaction records, fraudulent items, freezes, federal block requests, CRA notices, and decisions.</w:t>
            </w:r>
          </w:p>
        </w:tc>
      </w:tr>
      <w:tr w:rsidR="00756B19" w:rsidRPr="00566B6A" w14:paraId="21E8872F" w14:textId="77777777">
        <w:trPr>
          <w:cantSplit/>
          <w:jc w:val="center"/>
        </w:trPr>
        <w:tc>
          <w:tcPr>
            <w:tcW w:w="2232" w:type="dxa"/>
            <w:shd w:val="clear" w:color="auto" w:fill="F7FAFC"/>
            <w:tcMar>
              <w:top w:w="50" w:type="dxa"/>
              <w:left w:w="55" w:type="dxa"/>
              <w:bottom w:w="50" w:type="dxa"/>
              <w:right w:w="55" w:type="dxa"/>
            </w:tcMar>
          </w:tcPr>
          <w:p w14:paraId="43BE12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6DCF6B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FCCPA, Fla. Stat. §§ 559.55–559.785; federal FDCPA</w:t>
            </w:r>
          </w:p>
        </w:tc>
        <w:tc>
          <w:tcPr>
            <w:tcW w:w="1080" w:type="dxa"/>
            <w:shd w:val="clear" w:color="auto" w:fill="F7FAFC"/>
            <w:tcMar>
              <w:top w:w="50" w:type="dxa"/>
              <w:left w:w="55" w:type="dxa"/>
              <w:bottom w:w="50" w:type="dxa"/>
              <w:right w:w="55" w:type="dxa"/>
            </w:tcMar>
          </w:tcPr>
          <w:p w14:paraId="496C70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601B9C4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1E46EC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subsection and actor; preserve calls, messages, letters, disputes, counsel notice, balances, charges, and asserted rights.</w:t>
            </w:r>
          </w:p>
        </w:tc>
      </w:tr>
      <w:tr w:rsidR="00756B19" w:rsidRPr="00566B6A" w14:paraId="04E507BA" w14:textId="77777777">
        <w:trPr>
          <w:cantSplit/>
          <w:jc w:val="center"/>
        </w:trPr>
        <w:tc>
          <w:tcPr>
            <w:tcW w:w="2232" w:type="dxa"/>
            <w:tcMar>
              <w:top w:w="50" w:type="dxa"/>
              <w:left w:w="55" w:type="dxa"/>
              <w:bottom w:w="50" w:type="dxa"/>
              <w:right w:w="55" w:type="dxa"/>
            </w:tcMar>
          </w:tcPr>
          <w:p w14:paraId="7096E6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6811A6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501.005, 501.0051</w:t>
            </w:r>
          </w:p>
        </w:tc>
        <w:tc>
          <w:tcPr>
            <w:tcW w:w="1080" w:type="dxa"/>
            <w:tcMar>
              <w:top w:w="50" w:type="dxa"/>
              <w:left w:w="55" w:type="dxa"/>
              <w:bottom w:w="50" w:type="dxa"/>
              <w:right w:w="55" w:type="dxa"/>
            </w:tcMar>
          </w:tcPr>
          <w:p w14:paraId="081E25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793D1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4CD0E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 history, address-change notices, lift/removal requests, and resulting damages.</w:t>
            </w:r>
          </w:p>
        </w:tc>
      </w:tr>
      <w:tr w:rsidR="00756B19" w:rsidRPr="00566B6A" w14:paraId="28BFF35B" w14:textId="77777777">
        <w:trPr>
          <w:cantSplit/>
          <w:jc w:val="center"/>
        </w:trPr>
        <w:tc>
          <w:tcPr>
            <w:tcW w:w="2232" w:type="dxa"/>
            <w:shd w:val="clear" w:color="auto" w:fill="F7FAFC"/>
            <w:tcMar>
              <w:top w:w="50" w:type="dxa"/>
              <w:left w:w="55" w:type="dxa"/>
              <w:bottom w:w="50" w:type="dxa"/>
              <w:right w:w="55" w:type="dxa"/>
            </w:tcMar>
          </w:tcPr>
          <w:p w14:paraId="61661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24FA8B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Stat. § 501.171</w:t>
            </w:r>
          </w:p>
        </w:tc>
        <w:tc>
          <w:tcPr>
            <w:tcW w:w="1080" w:type="dxa"/>
            <w:shd w:val="clear" w:color="auto" w:fill="F7FAFC"/>
            <w:tcMar>
              <w:top w:w="50" w:type="dxa"/>
              <w:left w:w="55" w:type="dxa"/>
              <w:bottom w:w="50" w:type="dxa"/>
              <w:right w:w="55" w:type="dxa"/>
            </w:tcMar>
          </w:tcPr>
          <w:p w14:paraId="3ABDD6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FD7A6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2F1A8D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individual/AG/CRA notices, dates, delay records, and remediation.</w:t>
            </w:r>
          </w:p>
        </w:tc>
      </w:tr>
      <w:tr w:rsidR="00756B19" w:rsidRPr="00566B6A" w14:paraId="21778552" w14:textId="77777777">
        <w:trPr>
          <w:cantSplit/>
          <w:jc w:val="center"/>
        </w:trPr>
        <w:tc>
          <w:tcPr>
            <w:tcW w:w="2232" w:type="dxa"/>
            <w:tcMar>
              <w:top w:w="50" w:type="dxa"/>
              <w:left w:w="55" w:type="dxa"/>
              <w:bottom w:w="50" w:type="dxa"/>
              <w:right w:w="55" w:type="dxa"/>
            </w:tcMar>
          </w:tcPr>
          <w:p w14:paraId="66E7AE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612884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FDUTPA, Fla. Stat. §§ 501.201–501.213</w:t>
            </w:r>
          </w:p>
        </w:tc>
        <w:tc>
          <w:tcPr>
            <w:tcW w:w="1080" w:type="dxa"/>
            <w:tcMar>
              <w:top w:w="50" w:type="dxa"/>
              <w:left w:w="55" w:type="dxa"/>
              <w:bottom w:w="50" w:type="dxa"/>
              <w:right w:w="55" w:type="dxa"/>
            </w:tcMar>
          </w:tcPr>
          <w:p w14:paraId="6A77854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064165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5EF89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trade practice, objective deception or unfairness, causation, actual damages, remedy, and four-year timing.</w:t>
            </w:r>
          </w:p>
        </w:tc>
      </w:tr>
    </w:tbl>
    <w:p w14:paraId="01425E27" w14:textId="77777777" w:rsidR="00756B19" w:rsidRPr="00566B6A" w:rsidRDefault="00756B19">
      <w:pPr>
        <w:spacing w:after="20"/>
        <w:rPr>
          <w:rFonts w:ascii="Courier New" w:hAnsi="Courier New" w:cs="Courier New"/>
          <w:sz w:val="22"/>
        </w:rPr>
      </w:pPr>
    </w:p>
    <w:p w14:paraId="6A22BCF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theft, distinct FCCPA communications, freeze violations, breach duties, and FDUTPA conduct separate from CRA/furnisher reporting.</w:t>
      </w:r>
    </w:p>
    <w:p w14:paraId="51B7E516"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Florida claims imposing duties parallel to the FCRA without preserved state authority or distinct conduct.</w:t>
      </w:r>
    </w:p>
    <w:p w14:paraId="16DC5962"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1E5DB6A8"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0C350B6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6A02FCA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0FA3802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3 — </w:t>
      </w:r>
      <w:r w:rsidRPr="00566B6A">
        <w:rPr>
          <w:rFonts w:ascii="Courier New" w:hAnsi="Courier New" w:cs="Courier New"/>
          <w:sz w:val="22"/>
        </w:rPr>
        <w:t>Request and preserve the contract, ledger, date-of-first-delinquency support, ownership chain, inquiry logs, and account-level data.</w:t>
      </w:r>
    </w:p>
    <w:p w14:paraId="0E77A70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F4F184D"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Florida Attorney General or Office of Financial Regulation as jurisdiction requires; retain confirmation numbers.</w:t>
      </w:r>
    </w:p>
    <w:p w14:paraId="3863FF4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6F449D81"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365B5AD8"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69B8E968" w14:textId="77777777" w:rsidR="00964317" w:rsidRPr="00566B6A" w:rsidRDefault="00964317">
      <w:pPr>
        <w:ind w:left="72"/>
        <w:rPr>
          <w:rFonts w:ascii="Courier New" w:hAnsi="Courier New" w:cs="Courier New"/>
          <w:sz w:val="22"/>
        </w:rPr>
      </w:pPr>
    </w:p>
    <w:p w14:paraId="75DF2BEC"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0DA4E137"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63CC2B27" w14:textId="77777777">
        <w:trPr>
          <w:cantSplit/>
          <w:tblHeader/>
          <w:jc w:val="center"/>
        </w:trPr>
        <w:tc>
          <w:tcPr>
            <w:tcW w:w="6048" w:type="dxa"/>
            <w:shd w:val="clear" w:color="auto" w:fill="D9EAF7"/>
            <w:tcMar>
              <w:top w:w="55" w:type="dxa"/>
              <w:left w:w="55" w:type="dxa"/>
              <w:bottom w:w="55" w:type="dxa"/>
              <w:right w:w="55" w:type="dxa"/>
            </w:tcMar>
            <w:vAlign w:val="center"/>
          </w:tcPr>
          <w:p w14:paraId="0960C4C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606A29A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1B8B4571" w14:textId="77777777">
        <w:trPr>
          <w:cantSplit/>
          <w:jc w:val="center"/>
        </w:trPr>
        <w:tc>
          <w:tcPr>
            <w:tcW w:w="6048" w:type="dxa"/>
            <w:tcMar>
              <w:top w:w="50" w:type="dxa"/>
              <w:left w:w="55" w:type="dxa"/>
              <w:bottom w:w="50" w:type="dxa"/>
              <w:right w:w="55" w:type="dxa"/>
            </w:tcMar>
          </w:tcPr>
          <w:p w14:paraId="2AA0685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66CE83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14DBB3C3" w14:textId="77777777">
        <w:trPr>
          <w:cantSplit/>
          <w:jc w:val="center"/>
        </w:trPr>
        <w:tc>
          <w:tcPr>
            <w:tcW w:w="6048" w:type="dxa"/>
            <w:shd w:val="clear" w:color="auto" w:fill="F7FAFC"/>
            <w:tcMar>
              <w:top w:w="50" w:type="dxa"/>
              <w:left w:w="55" w:type="dxa"/>
              <w:bottom w:w="50" w:type="dxa"/>
              <w:right w:w="55" w:type="dxa"/>
            </w:tcMar>
          </w:tcPr>
          <w:p w14:paraId="48F3CF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4C73E31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01C491D0" w14:textId="77777777">
        <w:trPr>
          <w:cantSplit/>
          <w:jc w:val="center"/>
        </w:trPr>
        <w:tc>
          <w:tcPr>
            <w:tcW w:w="6048" w:type="dxa"/>
            <w:tcMar>
              <w:top w:w="50" w:type="dxa"/>
              <w:left w:w="55" w:type="dxa"/>
              <w:bottom w:w="50" w:type="dxa"/>
              <w:right w:w="55" w:type="dxa"/>
            </w:tcMar>
          </w:tcPr>
          <w:p w14:paraId="4B8C01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552183A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7A292F63" w14:textId="77777777">
        <w:trPr>
          <w:cantSplit/>
          <w:jc w:val="center"/>
        </w:trPr>
        <w:tc>
          <w:tcPr>
            <w:tcW w:w="6048" w:type="dxa"/>
            <w:shd w:val="clear" w:color="auto" w:fill="F7FAFC"/>
            <w:tcMar>
              <w:top w:w="50" w:type="dxa"/>
              <w:left w:w="55" w:type="dxa"/>
              <w:bottom w:w="50" w:type="dxa"/>
              <w:right w:w="55" w:type="dxa"/>
            </w:tcMar>
          </w:tcPr>
          <w:p w14:paraId="6D1A7A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Florida AG / OFR complaint + agency ID</w:t>
            </w:r>
          </w:p>
        </w:tc>
        <w:tc>
          <w:tcPr>
            <w:tcW w:w="8352" w:type="dxa"/>
            <w:shd w:val="clear" w:color="auto" w:fill="F7FAFC"/>
            <w:tcMar>
              <w:top w:w="50" w:type="dxa"/>
              <w:left w:w="55" w:type="dxa"/>
              <w:bottom w:w="50" w:type="dxa"/>
              <w:right w:w="55" w:type="dxa"/>
            </w:tcMar>
          </w:tcPr>
          <w:p w14:paraId="2BDA8B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60F00859" w14:textId="77777777">
        <w:trPr>
          <w:cantSplit/>
          <w:jc w:val="center"/>
        </w:trPr>
        <w:tc>
          <w:tcPr>
            <w:tcW w:w="6048" w:type="dxa"/>
            <w:tcMar>
              <w:top w:w="50" w:type="dxa"/>
              <w:left w:w="55" w:type="dxa"/>
              <w:bottom w:w="50" w:type="dxa"/>
              <w:right w:w="55" w:type="dxa"/>
            </w:tcMar>
          </w:tcPr>
          <w:p w14:paraId="190BD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754B32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113AEC44" w14:textId="77777777">
        <w:trPr>
          <w:cantSplit/>
          <w:jc w:val="center"/>
        </w:trPr>
        <w:tc>
          <w:tcPr>
            <w:tcW w:w="6048" w:type="dxa"/>
            <w:shd w:val="clear" w:color="auto" w:fill="F7FAFC"/>
            <w:tcMar>
              <w:top w:w="50" w:type="dxa"/>
              <w:left w:w="55" w:type="dxa"/>
              <w:bottom w:w="50" w:type="dxa"/>
              <w:right w:w="55" w:type="dxa"/>
            </w:tcMar>
          </w:tcPr>
          <w:p w14:paraId="737D2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22A78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5E58DD0B" w14:textId="77777777">
        <w:trPr>
          <w:cantSplit/>
          <w:jc w:val="center"/>
        </w:trPr>
        <w:tc>
          <w:tcPr>
            <w:tcW w:w="6048" w:type="dxa"/>
            <w:tcMar>
              <w:top w:w="50" w:type="dxa"/>
              <w:left w:w="55" w:type="dxa"/>
              <w:bottom w:w="50" w:type="dxa"/>
              <w:right w:w="55" w:type="dxa"/>
            </w:tcMar>
          </w:tcPr>
          <w:p w14:paraId="1C86B0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FDUTPA practice, causation, actual-damages, and remedy evidence</w:t>
            </w:r>
          </w:p>
        </w:tc>
        <w:tc>
          <w:tcPr>
            <w:tcW w:w="8352" w:type="dxa"/>
            <w:tcMar>
              <w:top w:w="50" w:type="dxa"/>
              <w:left w:w="55" w:type="dxa"/>
              <w:bottom w:w="50" w:type="dxa"/>
              <w:right w:w="55" w:type="dxa"/>
            </w:tcMar>
          </w:tcPr>
          <w:p w14:paraId="76315A0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or unfair practice, causation, actual damages, relief, and four-year timing</w:t>
            </w:r>
          </w:p>
        </w:tc>
      </w:tr>
    </w:tbl>
    <w:p w14:paraId="1224E8E8" w14:textId="77777777" w:rsidR="00756B19" w:rsidRPr="00566B6A" w:rsidRDefault="00756B19">
      <w:pPr>
        <w:spacing w:after="20"/>
        <w:rPr>
          <w:rFonts w:ascii="Courier New" w:hAnsi="Courier New" w:cs="Courier New"/>
          <w:sz w:val="22"/>
        </w:rPr>
      </w:pPr>
    </w:p>
    <w:p w14:paraId="2D07D41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205F441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01C46E9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67D2715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0F52E71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Liability-classification review: personal obligor, authorized user, guarantor, or business signer</w:t>
      </w:r>
    </w:p>
    <w:p w14:paraId="7A77DE4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396445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Florida FDUTPA practice, causation, actual-damages, remedy, and four-year limitations review</w:t>
      </w:r>
    </w:p>
    <w:p w14:paraId="16C8D0F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FCCPA actor, subsection, knowledge where required, evidence, and two-year limitations review</w:t>
      </w:r>
    </w:p>
    <w:p w14:paraId="31065EC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5C6E4B6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0E4FDC8E"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28CCEC2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Florida (FL)</w:t>
      </w:r>
    </w:p>
    <w:p w14:paraId="588C99B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24F0E90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Deceptive and Unfair Trade Practices Act (FDUTPA) | </w:t>
      </w:r>
      <w:r w:rsidRPr="00566B6A">
        <w:rPr>
          <w:rFonts w:ascii="Courier New" w:hAnsi="Courier New" w:cs="Courier New"/>
          <w:sz w:val="22"/>
        </w:rPr>
        <w:t>Fla. Stat. §§ 501.201–501.213 | Remedies: injunction, actual damages, fees/costs, AG restitution and civil penalties. | Authority: Attorney General / courts.</w:t>
      </w:r>
    </w:p>
    <w:p w14:paraId="49278CB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Consumer Collection Practices Act (FCCPA) | </w:t>
      </w:r>
      <w:r w:rsidRPr="00566B6A">
        <w:rPr>
          <w:rFonts w:ascii="Courier New" w:hAnsi="Courier New" w:cs="Courier New"/>
          <w:sz w:val="22"/>
        </w:rPr>
        <w:t>Fla. Stat. §§ 559.55–559.785 | Remedies: actual damages, up to $1,000 statutory damages, punitive/equitable relief, costs and fees; two-year period. | Authority: courts / OFR / AG.</w:t>
      </w:r>
    </w:p>
    <w:p w14:paraId="0D4D97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Consumer-Report Security Freeze Laws | </w:t>
      </w:r>
      <w:r w:rsidRPr="00566B6A">
        <w:rPr>
          <w:rFonts w:ascii="Courier New" w:hAnsi="Courier New" w:cs="Courier New"/>
          <w:sz w:val="22"/>
        </w:rPr>
        <w:t>Fla. Stat. §§ 501.005 and 501.0051 | Remedies: freeze procedures, actual/statutory and punitive damages, costs, and fees where authorized. | Authority: courts / CRAs / AG.</w:t>
      </w:r>
    </w:p>
    <w:p w14:paraId="74C7647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Security of Confidential Personal Information Law | </w:t>
      </w:r>
      <w:r w:rsidRPr="00566B6A">
        <w:rPr>
          <w:rFonts w:ascii="Courier New" w:hAnsi="Courier New" w:cs="Courier New"/>
          <w:sz w:val="22"/>
        </w:rPr>
        <w:t>Fla. Stat. § 501.171 | Remedies: data security and breach notice; AG enforcement and civil penalties up to $500,000 per breach; no private cause created. | Authority: AG.</w:t>
      </w:r>
    </w:p>
    <w:p w14:paraId="2065A35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Identity-Theft and Victim-Record Provisions | </w:t>
      </w:r>
      <w:r w:rsidRPr="00566B6A">
        <w:rPr>
          <w:rFonts w:ascii="Courier New" w:hAnsi="Courier New" w:cs="Courier New"/>
          <w:sz w:val="22"/>
        </w:rPr>
        <w:t>Fla. Stat. §§ 817.568 and 817.032 | Remedies: criminal relief, authorized restitution, record access, and restoration documentation. | Authority: law enforcement / courts.</w:t>
      </w:r>
    </w:p>
    <w:p w14:paraId="7637009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371D7F9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Collection-Agency Regulations — </w:t>
      </w:r>
      <w:r w:rsidRPr="00566B6A">
        <w:rPr>
          <w:rFonts w:ascii="Courier New" w:hAnsi="Courier New" w:cs="Courier New"/>
          <w:sz w:val="22"/>
        </w:rPr>
        <w:t>consult current OFR rules for registration, records, complaints, examination, and discipline; verify the exact effective rule.</w:t>
      </w:r>
    </w:p>
    <w:p w14:paraId="01B561B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2672350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Attorney General — Consumer Protection Division: </w:t>
      </w:r>
      <w:r w:rsidRPr="00566B6A">
        <w:rPr>
          <w:rFonts w:ascii="Courier New" w:hAnsi="Courier New" w:cs="Courier New"/>
          <w:sz w:val="22"/>
        </w:rPr>
        <w:t>complaints, FDUTPA investigation, restitution, injunction, and penalties.</w:t>
      </w:r>
    </w:p>
    <w:p w14:paraId="0668D99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Office of Financial Regulation: </w:t>
      </w:r>
      <w:r w:rsidRPr="00566B6A">
        <w:rPr>
          <w:rFonts w:ascii="Courier New" w:hAnsi="Courier New" w:cs="Courier New"/>
          <w:sz w:val="22"/>
        </w:rPr>
        <w:t>collection-agency registration, lookup, complaints, examinations, and oversight.</w:t>
      </w:r>
    </w:p>
    <w:p w14:paraId="7F71098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Florida identity-theft and freeze resources: </w:t>
      </w:r>
      <w:r w:rsidRPr="00566B6A">
        <w:rPr>
          <w:rFonts w:ascii="Courier New" w:hAnsi="Courier New" w:cs="Courier New"/>
          <w:sz w:val="22"/>
        </w:rPr>
        <w:t>preserve reports, freeze records, transaction requests, disputes, and agency submissions.</w:t>
      </w:r>
    </w:p>
    <w:p w14:paraId="2E86F09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09C95AA1"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Florida without municipal verification.</w:t>
      </w:r>
    </w:p>
    <w:p w14:paraId="0CA690AF" w14:textId="77777777" w:rsidR="00964317" w:rsidRPr="00566B6A" w:rsidRDefault="00964317">
      <w:pPr>
        <w:spacing w:after="60"/>
        <w:rPr>
          <w:rFonts w:ascii="Courier New" w:hAnsi="Courier New" w:cs="Courier New"/>
          <w:sz w:val="22"/>
        </w:rPr>
      </w:pPr>
    </w:p>
    <w:p w14:paraId="6D0933E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7B90C9DA" w14:textId="77777777">
        <w:trPr>
          <w:cantSplit/>
          <w:tblHeader/>
          <w:jc w:val="center"/>
        </w:trPr>
        <w:tc>
          <w:tcPr>
            <w:tcW w:w="2232" w:type="dxa"/>
            <w:shd w:val="clear" w:color="auto" w:fill="D9EAF7"/>
            <w:tcMar>
              <w:top w:w="55" w:type="dxa"/>
              <w:left w:w="55" w:type="dxa"/>
              <w:bottom w:w="55" w:type="dxa"/>
              <w:right w:w="55" w:type="dxa"/>
            </w:tcMar>
            <w:vAlign w:val="center"/>
          </w:tcPr>
          <w:p w14:paraId="15193D2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44C9E6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A665C1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13E8BE4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2D9237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F31FBA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8DA971B" w14:textId="77777777">
        <w:trPr>
          <w:cantSplit/>
          <w:jc w:val="center"/>
        </w:trPr>
        <w:tc>
          <w:tcPr>
            <w:tcW w:w="2232" w:type="dxa"/>
            <w:tcMar>
              <w:top w:w="50" w:type="dxa"/>
              <w:left w:w="55" w:type="dxa"/>
              <w:bottom w:w="50" w:type="dxa"/>
              <w:right w:w="55" w:type="dxa"/>
            </w:tcMar>
          </w:tcPr>
          <w:p w14:paraId="7C9C9E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PNR, Inc. v. Beacon Property Management, Inc.</w:t>
            </w:r>
          </w:p>
        </w:tc>
        <w:tc>
          <w:tcPr>
            <w:tcW w:w="1152" w:type="dxa"/>
            <w:tcMar>
              <w:top w:w="50" w:type="dxa"/>
              <w:left w:w="55" w:type="dxa"/>
              <w:bottom w:w="50" w:type="dxa"/>
              <w:right w:w="55" w:type="dxa"/>
            </w:tcMar>
          </w:tcPr>
          <w:p w14:paraId="1F706A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Sup. Ct.</w:t>
            </w:r>
          </w:p>
        </w:tc>
        <w:tc>
          <w:tcPr>
            <w:tcW w:w="748" w:type="dxa"/>
            <w:tcMar>
              <w:top w:w="50" w:type="dxa"/>
              <w:left w:w="55" w:type="dxa"/>
              <w:bottom w:w="50" w:type="dxa"/>
              <w:right w:w="55" w:type="dxa"/>
            </w:tcMar>
          </w:tcPr>
          <w:p w14:paraId="36A3215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tcMar>
              <w:top w:w="50" w:type="dxa"/>
              <w:left w:w="55" w:type="dxa"/>
              <w:bottom w:w="50" w:type="dxa"/>
              <w:right w:w="55" w:type="dxa"/>
            </w:tcMar>
          </w:tcPr>
          <w:p w14:paraId="2B43D6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842 So. 2d 773</w:t>
            </w:r>
          </w:p>
        </w:tc>
        <w:tc>
          <w:tcPr>
            <w:tcW w:w="4536" w:type="dxa"/>
            <w:tcMar>
              <w:top w:w="50" w:type="dxa"/>
              <w:left w:w="55" w:type="dxa"/>
              <w:bottom w:w="50" w:type="dxa"/>
              <w:right w:w="55" w:type="dxa"/>
            </w:tcMar>
          </w:tcPr>
          <w:p w14:paraId="64807E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Defines objective FDUTPA unfairness/deception standards and holds that one act may suffice; no pattern is required.</w:t>
            </w:r>
          </w:p>
        </w:tc>
        <w:tc>
          <w:tcPr>
            <w:tcW w:w="3643" w:type="dxa"/>
            <w:tcMar>
              <w:top w:w="50" w:type="dxa"/>
              <w:left w:w="55" w:type="dxa"/>
              <w:bottom w:w="50" w:type="dxa"/>
              <w:right w:w="55" w:type="dxa"/>
            </w:tcMar>
          </w:tcPr>
          <w:p w14:paraId="308C13A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act, why it could mislead or injure consumers, transaction context, causation, and relief.</w:t>
            </w:r>
          </w:p>
        </w:tc>
      </w:tr>
      <w:tr w:rsidR="00756B19" w:rsidRPr="00566B6A" w14:paraId="477DED27" w14:textId="77777777">
        <w:trPr>
          <w:cantSplit/>
          <w:jc w:val="center"/>
        </w:trPr>
        <w:tc>
          <w:tcPr>
            <w:tcW w:w="2232" w:type="dxa"/>
            <w:shd w:val="clear" w:color="auto" w:fill="F7FAFC"/>
            <w:tcMar>
              <w:top w:w="50" w:type="dxa"/>
              <w:left w:w="55" w:type="dxa"/>
              <w:bottom w:w="50" w:type="dxa"/>
              <w:right w:w="55" w:type="dxa"/>
            </w:tcMar>
          </w:tcPr>
          <w:p w14:paraId="44E3AB7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Rollins, Inc. v. Butland</w:t>
            </w:r>
          </w:p>
        </w:tc>
        <w:tc>
          <w:tcPr>
            <w:tcW w:w="1152" w:type="dxa"/>
            <w:shd w:val="clear" w:color="auto" w:fill="F7FAFC"/>
            <w:tcMar>
              <w:top w:w="50" w:type="dxa"/>
              <w:left w:w="55" w:type="dxa"/>
              <w:bottom w:w="50" w:type="dxa"/>
              <w:right w:w="55" w:type="dxa"/>
            </w:tcMar>
          </w:tcPr>
          <w:p w14:paraId="6D34F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shd w:val="clear" w:color="auto" w:fill="F7FAFC"/>
            <w:tcMar>
              <w:top w:w="50" w:type="dxa"/>
              <w:left w:w="55" w:type="dxa"/>
              <w:bottom w:w="50" w:type="dxa"/>
              <w:right w:w="55" w:type="dxa"/>
            </w:tcMar>
          </w:tcPr>
          <w:p w14:paraId="23E44E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089705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951 So. 2d 860</w:t>
            </w:r>
          </w:p>
        </w:tc>
        <w:tc>
          <w:tcPr>
            <w:tcW w:w="4536" w:type="dxa"/>
            <w:shd w:val="clear" w:color="auto" w:fill="F7FAFC"/>
            <w:tcMar>
              <w:top w:w="50" w:type="dxa"/>
              <w:left w:w="55" w:type="dxa"/>
              <w:bottom w:w="50" w:type="dxa"/>
              <w:right w:w="55" w:type="dxa"/>
            </w:tcMar>
          </w:tcPr>
          <w:p w14:paraId="24BF0A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FDUTPA damages claim requires deceptive or unfair conduct, causation, and actual damages; the opinion discusses benefit-of-the-bargain damages and excludes consequential loss.</w:t>
            </w:r>
          </w:p>
        </w:tc>
        <w:tc>
          <w:tcPr>
            <w:tcW w:w="3643" w:type="dxa"/>
            <w:shd w:val="clear" w:color="auto" w:fill="F7FAFC"/>
            <w:tcMar>
              <w:top w:w="50" w:type="dxa"/>
              <w:left w:w="55" w:type="dxa"/>
              <w:bottom w:w="50" w:type="dxa"/>
              <w:right w:w="55" w:type="dxa"/>
            </w:tcMar>
          </w:tcPr>
          <w:p w14:paraId="500413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promised/delivered value, payments, valuation evidence, causation, and damages calculation.</w:t>
            </w:r>
          </w:p>
        </w:tc>
      </w:tr>
      <w:tr w:rsidR="00756B19" w:rsidRPr="00566B6A" w14:paraId="07F45977" w14:textId="77777777">
        <w:trPr>
          <w:cantSplit/>
          <w:jc w:val="center"/>
        </w:trPr>
        <w:tc>
          <w:tcPr>
            <w:tcW w:w="2232" w:type="dxa"/>
            <w:tcMar>
              <w:top w:w="50" w:type="dxa"/>
              <w:left w:w="55" w:type="dxa"/>
              <w:bottom w:w="50" w:type="dxa"/>
              <w:right w:w="55" w:type="dxa"/>
            </w:tcMar>
          </w:tcPr>
          <w:p w14:paraId="44FFBA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Read v. MFP, Inc.</w:t>
            </w:r>
          </w:p>
        </w:tc>
        <w:tc>
          <w:tcPr>
            <w:tcW w:w="1152" w:type="dxa"/>
            <w:tcMar>
              <w:top w:w="50" w:type="dxa"/>
              <w:left w:w="55" w:type="dxa"/>
              <w:bottom w:w="50" w:type="dxa"/>
              <w:right w:w="55" w:type="dxa"/>
            </w:tcMar>
          </w:tcPr>
          <w:p w14:paraId="21A37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Fla. 2d DCA</w:t>
            </w:r>
          </w:p>
        </w:tc>
        <w:tc>
          <w:tcPr>
            <w:tcW w:w="748" w:type="dxa"/>
            <w:tcMar>
              <w:top w:w="50" w:type="dxa"/>
              <w:left w:w="55" w:type="dxa"/>
              <w:bottom w:w="50" w:type="dxa"/>
              <w:right w:w="55" w:type="dxa"/>
            </w:tcMar>
          </w:tcPr>
          <w:p w14:paraId="17866B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1AD6D60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So. 3d 1151</w:t>
            </w:r>
          </w:p>
        </w:tc>
        <w:tc>
          <w:tcPr>
            <w:tcW w:w="4536" w:type="dxa"/>
            <w:tcMar>
              <w:top w:w="50" w:type="dxa"/>
              <w:left w:w="55" w:type="dxa"/>
              <w:bottom w:w="50" w:type="dxa"/>
              <w:right w:w="55" w:type="dxa"/>
            </w:tcMar>
          </w:tcPr>
          <w:p w14:paraId="3EDDC4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plaintiff must identify a specific FCCPA violation; an FDCPA violation alone is insufficient, and a callback message did not assert a nonexistent legal right.</w:t>
            </w:r>
          </w:p>
        </w:tc>
        <w:tc>
          <w:tcPr>
            <w:tcW w:w="3643" w:type="dxa"/>
            <w:tcMar>
              <w:top w:w="50" w:type="dxa"/>
              <w:left w:w="55" w:type="dxa"/>
              <w:bottom w:w="50" w:type="dxa"/>
              <w:right w:w="55" w:type="dxa"/>
            </w:tcMar>
          </w:tcPr>
          <w:p w14:paraId="5CBADE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subsection and preserve the message, identification request, asserted right, actor status, dates, and harm.</w:t>
            </w:r>
          </w:p>
        </w:tc>
      </w:tr>
    </w:tbl>
    <w:p w14:paraId="4418D77D" w14:textId="77777777" w:rsidR="00756B19" w:rsidRPr="00566B6A" w:rsidRDefault="00756B19">
      <w:pPr>
        <w:spacing w:after="20"/>
        <w:rPr>
          <w:rFonts w:ascii="Courier New" w:hAnsi="Courier New" w:cs="Courier New"/>
          <w:sz w:val="22"/>
        </w:rPr>
      </w:pPr>
    </w:p>
    <w:p w14:paraId="080FA52A"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5B3FEC1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TK-Authority-2026-07-FL</w:t>
      </w:r>
    </w:p>
    <w:p w14:paraId="3E4FF74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1CCF4ED8"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FL + WA</w:t>
      </w:r>
    </w:p>
    <w:p w14:paraId="58107056"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Florida statutes were checked against the 2025 Florida Statutes and current agency materials; federal authorities against current U.S. Code and Regulation V materials available July 24, 2026.</w:t>
      </w:r>
    </w:p>
    <w:p w14:paraId="09B2721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1DD027A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558D6A0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D29C29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61B2D9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BAFE02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353809A5"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Florida consumer-protection authorities. Laws may change. This material is educational only and is not legal advice or representation.</w:t>
      </w:r>
    </w:p>
    <w:p w14:paraId="41D6DCFA"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6AE83B1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6A2F93C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Florida Administrative Code citation by department, division, chapter, rule, and subsection.</w:t>
      </w:r>
    </w:p>
    <w:p w14:paraId="3E4542F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0225BE8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7D0A92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19AF0C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6B846FF3"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2C7B9F5" w14:textId="77777777" w:rsidR="00BD7EED" w:rsidRDefault="00BD7EED">
      <w:pPr>
        <w:keepLines/>
        <w:spacing w:before="40" w:after="0"/>
        <w:rPr>
          <w:rFonts w:ascii="Courier New" w:hAnsi="Courier New" w:cs="Courier New"/>
          <w:i/>
          <w:color w:val="464646"/>
          <w:sz w:val="22"/>
        </w:rPr>
      </w:pPr>
    </w:p>
    <w:p w14:paraId="5335CF6F" w14:textId="77777777" w:rsidR="00BD7EED" w:rsidRDefault="00BD7EED">
      <w:pPr>
        <w:keepLines/>
        <w:spacing w:before="40" w:after="0"/>
        <w:rPr>
          <w:rFonts w:ascii="Courier New" w:hAnsi="Courier New" w:cs="Courier New"/>
          <w:i/>
          <w:color w:val="464646"/>
          <w:sz w:val="22"/>
        </w:rPr>
      </w:pPr>
    </w:p>
    <w:p w14:paraId="5263B096" w14:textId="77777777" w:rsidR="00BD7EED" w:rsidRDefault="00BD7EED">
      <w:pPr>
        <w:keepLines/>
        <w:spacing w:before="40" w:after="0"/>
        <w:rPr>
          <w:rFonts w:ascii="Courier New" w:hAnsi="Courier New" w:cs="Courier New"/>
          <w:i/>
          <w:color w:val="464646"/>
          <w:sz w:val="22"/>
        </w:rPr>
      </w:pPr>
    </w:p>
    <w:p w14:paraId="557A4D79" w14:textId="77777777" w:rsidR="00BD7EED" w:rsidRDefault="00BD7EED">
      <w:pPr>
        <w:keepLines/>
        <w:spacing w:before="40" w:after="0"/>
        <w:rPr>
          <w:rFonts w:ascii="Courier New" w:hAnsi="Courier New" w:cs="Courier New"/>
          <w:i/>
          <w:color w:val="464646"/>
          <w:sz w:val="22"/>
        </w:rPr>
      </w:pPr>
    </w:p>
    <w:p w14:paraId="4FFAF2C6" w14:textId="77777777" w:rsidR="00BD7EED" w:rsidRDefault="00BD7EED">
      <w:pPr>
        <w:keepLines/>
        <w:spacing w:before="40" w:after="0"/>
        <w:rPr>
          <w:rFonts w:ascii="Courier New" w:hAnsi="Courier New" w:cs="Courier New"/>
          <w:i/>
          <w:color w:val="464646"/>
          <w:sz w:val="22"/>
        </w:rPr>
      </w:pPr>
    </w:p>
    <w:p w14:paraId="69406B45" w14:textId="77777777" w:rsidR="00BD7EED" w:rsidRDefault="00BD7EED">
      <w:pPr>
        <w:keepLines/>
        <w:spacing w:before="40" w:after="0"/>
        <w:rPr>
          <w:rFonts w:ascii="Courier New" w:hAnsi="Courier New" w:cs="Courier New"/>
          <w:i/>
          <w:color w:val="464646"/>
          <w:sz w:val="22"/>
        </w:rPr>
      </w:pPr>
    </w:p>
    <w:p w14:paraId="676031FF" w14:textId="77777777" w:rsidR="00BD7EED" w:rsidRDefault="00BD7EED">
      <w:pPr>
        <w:keepLines/>
        <w:spacing w:before="40" w:after="0"/>
        <w:rPr>
          <w:rFonts w:ascii="Courier New" w:hAnsi="Courier New" w:cs="Courier New"/>
          <w:i/>
          <w:color w:val="464646"/>
          <w:sz w:val="22"/>
        </w:rPr>
      </w:pPr>
    </w:p>
    <w:p w14:paraId="706AEE1B" w14:textId="77777777" w:rsidR="00BD7EED" w:rsidRDefault="00BD7EED">
      <w:pPr>
        <w:keepLines/>
        <w:spacing w:before="40" w:after="0"/>
        <w:rPr>
          <w:rFonts w:ascii="Courier New" w:hAnsi="Courier New" w:cs="Courier New"/>
          <w:i/>
          <w:color w:val="464646"/>
          <w:sz w:val="22"/>
        </w:rPr>
      </w:pPr>
    </w:p>
    <w:p w14:paraId="513D8648" w14:textId="77777777" w:rsidR="00BD7EED" w:rsidRDefault="00BD7EED">
      <w:pPr>
        <w:keepLines/>
        <w:spacing w:before="40" w:after="0"/>
        <w:rPr>
          <w:rFonts w:ascii="Courier New" w:hAnsi="Courier New" w:cs="Courier New"/>
          <w:i/>
          <w:color w:val="464646"/>
          <w:sz w:val="22"/>
        </w:rPr>
      </w:pPr>
    </w:p>
    <w:p w14:paraId="40555764" w14:textId="77777777" w:rsidR="00BD7EED" w:rsidRDefault="00BD7EED">
      <w:pPr>
        <w:keepLines/>
        <w:spacing w:before="40" w:after="0"/>
        <w:rPr>
          <w:rFonts w:ascii="Courier New" w:hAnsi="Courier New" w:cs="Courier New"/>
          <w:i/>
          <w:color w:val="464646"/>
          <w:sz w:val="22"/>
        </w:rPr>
      </w:pPr>
    </w:p>
    <w:p w14:paraId="25066C00" w14:textId="77777777" w:rsidR="00BD7EED" w:rsidRDefault="00BD7EED">
      <w:pPr>
        <w:keepLines/>
        <w:spacing w:before="40" w:after="0"/>
        <w:rPr>
          <w:rFonts w:ascii="Courier New" w:hAnsi="Courier New" w:cs="Courier New"/>
          <w:i/>
          <w:color w:val="464646"/>
          <w:sz w:val="22"/>
        </w:rPr>
      </w:pPr>
    </w:p>
    <w:p w14:paraId="0269F938" w14:textId="77777777" w:rsidR="00BD7EED" w:rsidRDefault="00BD7EED">
      <w:pPr>
        <w:keepLines/>
        <w:spacing w:before="40" w:after="0"/>
        <w:rPr>
          <w:rFonts w:ascii="Courier New" w:hAnsi="Courier New" w:cs="Courier New"/>
          <w:i/>
          <w:color w:val="464646"/>
          <w:sz w:val="22"/>
        </w:rPr>
      </w:pPr>
    </w:p>
    <w:p w14:paraId="368A9C2E" w14:textId="77777777" w:rsidR="00BD7EED" w:rsidRDefault="00BD7EED">
      <w:pPr>
        <w:keepLines/>
        <w:spacing w:before="40" w:after="0"/>
        <w:rPr>
          <w:rFonts w:ascii="Courier New" w:hAnsi="Courier New" w:cs="Courier New"/>
          <w:i/>
          <w:color w:val="464646"/>
          <w:sz w:val="22"/>
        </w:rPr>
      </w:pPr>
    </w:p>
    <w:p w14:paraId="7E966B73" w14:textId="77777777" w:rsidR="00BD7EED" w:rsidRPr="00566B6A" w:rsidRDefault="00BD7EED">
      <w:pPr>
        <w:keepLines/>
        <w:spacing w:before="40" w:after="0"/>
        <w:rPr>
          <w:rFonts w:ascii="Courier New" w:hAnsi="Courier New" w:cs="Courier New"/>
          <w:sz w:val="22"/>
        </w:rPr>
      </w:pPr>
    </w:p>
    <w:p w14:paraId="6BA50A58" w14:textId="77777777" w:rsidR="004135C1" w:rsidRDefault="00C2033D">
      <w:pPr>
        <w:pageBreakBefore/>
      </w:pPr>
      <w:r>
        <w:rPr>
          <w:color w:val="FFFFFF"/>
          <w:sz w:val="2"/>
        </w:rPr>
        <w:lastRenderedPageBreak/>
        <w:t> </w:t>
      </w:r>
    </w:p>
    <w:sectPr w:rsidR="004135C1"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BD57" w14:textId="77777777" w:rsidR="00C2033D" w:rsidRDefault="00C2033D">
      <w:pPr>
        <w:spacing w:after="0" w:line="240" w:lineRule="auto"/>
      </w:pPr>
      <w:r>
        <w:separator/>
      </w:r>
    </w:p>
  </w:endnote>
  <w:endnote w:type="continuationSeparator" w:id="0">
    <w:p w14:paraId="301B742D" w14:textId="77777777" w:rsidR="00C2033D" w:rsidRDefault="00C2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E546"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45B5" w14:textId="77777777" w:rsidR="00C2033D" w:rsidRDefault="00C2033D">
      <w:pPr>
        <w:spacing w:after="0" w:line="240" w:lineRule="auto"/>
      </w:pPr>
      <w:r>
        <w:separator/>
      </w:r>
    </w:p>
  </w:footnote>
  <w:footnote w:type="continuationSeparator" w:id="0">
    <w:p w14:paraId="061ACA40" w14:textId="77777777" w:rsidR="00C2033D" w:rsidRDefault="00C20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57BB" w14:textId="77777777" w:rsidR="00756B19" w:rsidRDefault="00F247EE">
    <w:pPr>
      <w:pStyle w:val="Header"/>
      <w:jc w:val="right"/>
    </w:pPr>
    <w:r>
      <w:rPr>
        <w:b/>
        <w:color w:val="505050"/>
        <w:sz w:val="15"/>
      </w:rPr>
      <w:t>GLADIC AI™ — SECTION 3A | FLORIDA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10A1A"/>
    <w:rsid w:val="0029639D"/>
    <w:rsid w:val="00326F90"/>
    <w:rsid w:val="004135C1"/>
    <w:rsid w:val="00463F22"/>
    <w:rsid w:val="00566B6A"/>
    <w:rsid w:val="00655F05"/>
    <w:rsid w:val="006F27AD"/>
    <w:rsid w:val="00736F61"/>
    <w:rsid w:val="00756B19"/>
    <w:rsid w:val="00964317"/>
    <w:rsid w:val="00AA1D8D"/>
    <w:rsid w:val="00B47730"/>
    <w:rsid w:val="00BD7EED"/>
    <w:rsid w:val="00C2033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69023"/>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3784</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2026-07-24T07:49:00Z</dcterms:created>
  <dcterms:modified xsi:type="dcterms:W3CDTF">2026-07-24T07:49:00Z</dcterms:modified>
  <cp:category/>
</cp:coreProperties>
</file>