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B1629" w14:textId="77777777" w:rsidR="00756B19" w:rsidRPr="00024A47" w:rsidRDefault="00F247EE">
      <w:pPr>
        <w:jc w:val="center"/>
        <w:rPr>
          <w:rFonts w:ascii="Courier New" w:hAnsi="Courier New" w:cs="Courier New"/>
          <w:sz w:val="26"/>
          <w:szCs w:val="26"/>
        </w:rPr>
      </w:pPr>
      <w:r w:rsidRPr="00024A47">
        <w:rPr>
          <w:rFonts w:ascii="Courier New" w:hAnsi="Courier New" w:cs="Courier New"/>
          <w:b/>
          <w:sz w:val="26"/>
          <w:szCs w:val="26"/>
        </w:rPr>
        <w:t>SECTION 3A — KNOW YOUR RIGHTS AND PROTECTION UNDER YOUR RESIDING STATE</w:t>
      </w:r>
    </w:p>
    <w:p w14:paraId="066DD9AC" w14:textId="77777777" w:rsidR="00024A47" w:rsidRPr="00024A47" w:rsidRDefault="00024A47">
      <w:pPr>
        <w:spacing w:after="140"/>
        <w:jc w:val="center"/>
        <w:rPr>
          <w:rFonts w:ascii="Courier New" w:hAnsi="Courier New" w:cs="Courier New"/>
          <w:b/>
          <w:sz w:val="22"/>
        </w:rPr>
      </w:pPr>
    </w:p>
    <w:p w14:paraId="3F44467E" w14:textId="77777777" w:rsidR="00756B19" w:rsidRDefault="00F247EE" w:rsidP="00566B6A">
      <w:pPr>
        <w:spacing w:after="0"/>
        <w:jc w:val="center"/>
        <w:rPr>
          <w:rFonts w:ascii="Courier New" w:hAnsi="Courier New" w:cs="Courier New"/>
          <w:bCs/>
          <w:sz w:val="22"/>
        </w:rPr>
      </w:pPr>
      <w:r w:rsidRPr="00024A47">
        <w:rPr>
          <w:rFonts w:ascii="Courier New" w:hAnsi="Courier New" w:cs="Courier New"/>
          <w:bCs/>
          <w:sz w:val="22"/>
        </w:rPr>
        <w:t>GLADIC AI GENERATOR INSTRUCTIONS (STATE-AUTO-RENDER + CITED AUTHORITIES)</w:t>
      </w:r>
    </w:p>
    <w:p w14:paraId="395133A7" w14:textId="77777777" w:rsidR="00566B6A" w:rsidRPr="00024A47" w:rsidRDefault="00566B6A" w:rsidP="00566B6A">
      <w:pPr>
        <w:spacing w:after="0"/>
        <w:jc w:val="center"/>
        <w:rPr>
          <w:rFonts w:ascii="Courier New" w:hAnsi="Courier New" w:cs="Courier New"/>
          <w:bCs/>
          <w:sz w:val="22"/>
        </w:rPr>
      </w:pPr>
    </w:p>
    <w:p w14:paraId="7B376C60"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Purpose: Educational, procedural self-help module complementing federal FCRA rights.</w:t>
      </w:r>
    </w:p>
    <w:p w14:paraId="18458F7F"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 xml:space="preserve">Consumer: </w:t>
      </w:r>
      <w:r w:rsidR="006F27AD">
        <w:rPr>
          <w:rFonts w:ascii="Courier New" w:hAnsi="Courier New" w:cs="Courier New"/>
          <w:bCs/>
          <w:sz w:val="22"/>
        </w:rPr>
        <w:t>________________</w:t>
      </w:r>
    </w:p>
    <w:p w14:paraId="3F9EAEEA" w14:textId="77777777" w:rsidR="00756B19" w:rsidRPr="00566B6A" w:rsidRDefault="00F247EE" w:rsidP="00566B6A">
      <w:pPr>
        <w:pStyle w:val="Heading1"/>
        <w:spacing w:before="16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PART A — STATE RIGHTS MAP (STATUTES / ACTS / REGULATIONS / POLICIES / ORDINANCES)</w:t>
      </w:r>
    </w:p>
    <w:p w14:paraId="45A90E31"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Hawaii (HI)</w:t>
      </w:r>
    </w:p>
    <w:p w14:paraId="019236B6"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Controlling STATE selected from current/most recent address on uploaded bureau report(s) (Experian, Equifax, TransUnion). Case-file STATE used only if report addresses were unavailable.</w:t>
      </w:r>
    </w:p>
    <w:p w14:paraId="61498D7A"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Secondary STATEs (identity profile): Washington (WA)</w:t>
      </w:r>
    </w:p>
    <w:p w14:paraId="5DC5655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UDAP / Consumer Protection Act(s)</w:t>
      </w:r>
    </w:p>
    <w:p w14:paraId="78CDFF7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Name: Hawaii Unfair or Deceptive Acts or Practices Law (UDAP)</w:t>
      </w:r>
    </w:p>
    <w:p w14:paraId="11CD726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 H.R.S. §§ 480-1 through 480-24</w:t>
      </w:r>
    </w:p>
    <w:p w14:paraId="11AAF06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Scope: Prohibits unfair or deceptive acts or practices in trade or commerce. Deception is judged objectively by whether a material practice is likely to mislead reasonable consumers.</w:t>
      </w:r>
    </w:p>
    <w:p w14:paraId="65D5531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Under H.R.S. § 480-13, a qualifying consumer may seek an injunction and the greater of $1,000 or threefold damages, plus reasonable attorney’s fees and costs. Public enforcement may include penalties and restitution.</w:t>
      </w:r>
    </w:p>
    <w:p w14:paraId="43E28C7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Private right of action: Document the unfair or deceptive practice, consumer status, injury to business or property, and causation. Actions generally must begin within four years under H.R.S. § 480-24.</w:t>
      </w:r>
    </w:p>
    <w:p w14:paraId="6533F15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State enforcement: Hawaii DCCA Office of Consumer Protection under H.R.S. §§ 487-2, 487-5, 480-15, and 480-18; the Attorney General may also enforce applicable provisions. H.R.S. § 28-15 is not OCP authority.</w:t>
      </w:r>
    </w:p>
    <w:p w14:paraId="14BEB2AF"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Debt Collection Law(s)</w:t>
      </w:r>
    </w:p>
    <w:p w14:paraId="72D9A4C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Applicability: Collection activity present — identify whether the actor is a registered agency, exempt out-of-state agency, creditor, assignee, attorney, or federal debt collector.</w:t>
      </w:r>
    </w:p>
    <w:p w14:paraId="2292A7BB"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Overview: Chapter 443B regulates collection-agency registration, bonding, accounting, and conduct, including threats, harassment, deceptive representations, and unfair means. The federal FDCPA may also apply.</w:t>
      </w:r>
    </w:p>
    <w:p w14:paraId="6F39712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Citations: H.R.S. §§ 443B-1 through 443B-21; 15 U.S.C. §§ 1692 through 1692p.</w:t>
      </w:r>
    </w:p>
    <w:p w14:paraId="09B68BD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lastRenderedPageBreak/>
        <w:t>Regulators: Hawaii DCCA Professional and Vocational Licensing Division; Office of Consumer Protection; CFPB and FTC where applicable.</w:t>
      </w:r>
    </w:p>
    <w:p w14:paraId="3B1F39BB"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Credit Reporting / Mini-FCRA Laws</w:t>
      </w:r>
    </w:p>
    <w:p w14:paraId="37F67C1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Mini-FCRA status: Chapter 489P principally provides security-freeze rights and penalties. Federal FCRA procedures remain primary for disclosure, accuracy, reinvestigation, furnishing, and identity-theft blocking.</w:t>
      </w:r>
    </w:p>
    <w:p w14:paraId="06048C2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freeze: Hawaii residents may place, lift, or remove a free security freeze under § 489P-3. Protected-consumer freezes are addressed in § 489P-3.5.</w:t>
      </w:r>
    </w:p>
    <w:p w14:paraId="7781744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Disclosures: Consumers may use FCRA file-disclosure rights and Hawaii security-freeze procedures.</w:t>
      </w:r>
    </w:p>
    <w:p w14:paraId="3C57C0C2"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Corrections: Dispute inaccurate, incomplete, or unverifiable personal identifiers directly with each CRA under 15 U.S.C. § 1681i. Evaluate Hawaii claims separately for FCRA preemption.</w:t>
      </w:r>
    </w:p>
    <w:p w14:paraId="0D8AA606"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Fraud alerts: Federal fraud-alert rights are supplemented by Hawaii freezes, identity-theft crimes, and breach notice.</w:t>
      </w:r>
    </w:p>
    <w:p w14:paraId="1B0FFBF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Remedies: H.R.S. § 489P-6 authorizes up to $2,500 per violation, actual damages, and possible prevailing-party attorney’s fees.</w:t>
      </w:r>
    </w:p>
    <w:p w14:paraId="4F41E6A8" w14:textId="77777777" w:rsidR="00756B19" w:rsidRPr="00566B6A" w:rsidRDefault="00F247EE" w:rsidP="00566B6A">
      <w:pPr>
        <w:pStyle w:val="Heading2"/>
        <w:rPr>
          <w:rFonts w:ascii="Courier New" w:hAnsi="Courier New" w:cs="Courier New"/>
          <w:b w:val="0"/>
          <w:color w:val="auto"/>
          <w:sz w:val="22"/>
          <w:szCs w:val="22"/>
        </w:rPr>
      </w:pPr>
      <w:r w:rsidRPr="00566B6A">
        <w:rPr>
          <w:rFonts w:ascii="Courier New" w:hAnsi="Courier New" w:cs="Courier New"/>
          <w:b w:val="0"/>
          <w:color w:val="auto"/>
          <w:sz w:val="22"/>
          <w:szCs w:val="22"/>
        </w:rPr>
        <w:t>FEDERAL FCRA — CORRECTION OR REMOVAL OF INACCURATE ADDRESS, EMPLOYMENT, AND CONTACT INFORMATION</w:t>
      </w:r>
    </w:p>
    <w:p w14:paraId="2E3A9027"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Information covered by the consumer file: Under 15 U.S.C. § 1681a(g), a consumer “file” includes all information about the consumer recorded and retained by a consumer reporting agency, regardless of storage method. This permits a consumer to dispute personal identifiers retained in the file, including names, current or former addresses, telephone numbers, and past or present employer information.</w:t>
      </w:r>
    </w:p>
    <w:p w14:paraId="17B8E8D5"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Maximum possible accuracy: Whenever a consumer reporting agency prepares a consumer report, 15 U.S.C. § 1681e(b) requires reasonable procedures designed to assure maximum possible accuracy of the information concerning the consumer. Incorrect identifying information can support a mixed-file, identity-integrity, or report-accuracy review.</w:t>
      </w:r>
    </w:p>
    <w:p w14:paraId="2BC903D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File disclosure and source identification: Under 15 U.S.C. § 1681g(a)(1)–(2), the consumer may request a clear and accurate disclosure of all information in the file and the sources of that information, subject to statutory exceptions. The disclosure should be used to identify each disputed address, telephone number, employer, alias, or other personal-data entry precisely.</w:t>
      </w:r>
    </w:p>
    <w:p w14:paraId="59A59F2E"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CRA dispute and reasonable reinvestigation: Under 15 U.S.C. § 1681i(a)(1)(A), when the consumer disputes the completeness or accuracy of any item of information in the file and notifies the consumer reporting agency, the agency must conduct a reasonable reinvestigation free of charge, </w:t>
      </w:r>
      <w:r w:rsidRPr="00566B6A">
        <w:rPr>
          <w:rFonts w:ascii="Courier New" w:hAnsi="Courier New" w:cs="Courier New"/>
          <w:bCs/>
          <w:sz w:val="22"/>
        </w:rPr>
        <w:lastRenderedPageBreak/>
        <w:t>determine whether the item is inaccurate, record its current status, or delete it in accordance with § 1681i(a)(5). Section 1681i(a)(4) requires the agency to review and consider all relevant information submitted by the consumer.</w:t>
      </w:r>
    </w:p>
    <w:p w14:paraId="41D89183"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Mandatory deletion or modification: Under 15 U.S.C. § 1681i(a)(5)(A), if the disputed address, employer, telephone number, or other item is found to be inaccurate or incomplete, or cannot be verified, the consumer reporting agency must promptly delete the item or modify it as appropriate and promptly notify the furnisher of the modification or deletion.</w:t>
      </w:r>
    </w:p>
    <w:p w14:paraId="2C53145A"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Results, reinsertion safeguards, and prior recipients: Under 15 U.S.C. § 1681i(a)(5)(B), deleted information generally may not be reinserted unless the furnisher certifies that it is complete and accurate, and the consumer must receive timely notice of reinsertion. Section 1681i(a)(6) requires written reinvestigation results and a revised consumer report. Under § 1681i(d), the consumer may request notice of a deletion or dispute notation to designated prior recipients, including recipients of employment reports within the preceding two years and other recipients within the preceding six months.</w:t>
      </w:r>
    </w:p>
    <w:p w14:paraId="0A40784C"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Furnisher duties after CRA notice: When an identifiable person furnished the disputed information and receives notice from the consumer reporting agency under 15 U.S.C. § 1681i(a)(2), 15 U.S.C. § 1681s-2(b)(1) generally requires investigation, review of relevant information, reporting of results, and—if the item is inaccurate, incomplete, or unverifiable—prompt modification, deletion, or permanent blocking of the item for reporting purposes.</w:t>
      </w:r>
    </w:p>
    <w:p w14:paraId="6653A68B"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Correct route for address, telephone, and employer disputes: Regulation V, 12 C.F.R. § 1022.43(b)(1)(i)–(ii), excludes identifying information such as telephone numbers and addresses, and the identity of past or present employers, from the regulation’s mandatory direct-dispute investigation procedure for furnishers. The primary dispute should therefore be submitted directly to each consumer reporting agency displaying the inaccurate information. A furnisher may still have duties after receiving the dispute through the agency under 15 U.S.C. § 1681s-2(b), where applicable.</w:t>
      </w:r>
    </w:p>
    <w:p w14:paraId="3228FF69"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Identity-theft blocking: If an address, employer, telephone number, or related entry resulted from identity theft, 15 U.S.C. § 1681c-2(a) generally requires the consumer reporting agency to block reporting of the identified information within four business days after receiving appropriate proof of identity, an identity-theft report, identification of the information, and the consumer’s statement that the information does not relate to a transaction by the consumer.</w:t>
      </w:r>
    </w:p>
    <w:p w14:paraId="69DB1B9C" w14:textId="77777777" w:rsidR="00756B19" w:rsidRPr="00566B6A" w:rsidRDefault="00F247EE" w:rsidP="00566B6A">
      <w:pPr>
        <w:pStyle w:val="ListBullet"/>
        <w:spacing w:after="0"/>
        <w:rPr>
          <w:rFonts w:ascii="Courier New" w:hAnsi="Courier New" w:cs="Courier New"/>
          <w:bCs/>
          <w:sz w:val="22"/>
        </w:rPr>
      </w:pPr>
      <w:r w:rsidRPr="00566B6A">
        <w:rPr>
          <w:rFonts w:ascii="Courier New" w:hAnsi="Courier New" w:cs="Courier New"/>
          <w:bCs/>
          <w:sz w:val="22"/>
        </w:rPr>
        <w:t xml:space="preserve">Practical limitation—no automatic purge of accurate history: The FCRA does not automatically require deletion merely because a former address or employer is old or no longer current. Request modification when an accurate historical item is incorrectly labeled as current. </w:t>
      </w:r>
      <w:r w:rsidRPr="00566B6A">
        <w:rPr>
          <w:rFonts w:ascii="Courier New" w:hAnsi="Courier New" w:cs="Courier New"/>
          <w:bCs/>
          <w:sz w:val="22"/>
        </w:rPr>
        <w:lastRenderedPageBreak/>
        <w:t>Request deletion when the item is not the consumer’s, is materially inaccurate or incomplete, cannot be verified, reflects a mixed file, or resulted from identity theft. Preserve the report page, proof of current identity and residence, employment records, dispute confirmation, and reinvestigation results.</w:t>
      </w:r>
    </w:p>
    <w:p w14:paraId="15BF1FEB"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Security Freeze / Fraud Alert / Identity Restoration</w:t>
      </w:r>
    </w:p>
    <w:p w14:paraId="6038319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 theft: H.R.S. §§ 708-839.6 through 708-839.8 establish identity theft in the first, second, and third degrees.</w:t>
      </w:r>
    </w:p>
    <w:p w14:paraId="66D3690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Identity-restoration record: Obtain police and FTC reports and identify each fraudulent account, transaction, and personal identifier.</w:t>
      </w:r>
    </w:p>
    <w:p w14:paraId="57716FC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Restoration: Use fraud alerts, freezes, blocking requests, creditor notices, applications, and documented bureau disputes.</w:t>
      </w:r>
    </w:p>
    <w:p w14:paraId="35DA52FA"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Reporting: Preserve police/FTC reports, freeze confirmations, creditor notices, bureau responses, and complaint numbers.</w:t>
      </w:r>
    </w:p>
    <w:p w14:paraId="13AE1C5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Privacy + Data Security + Breach Notification</w:t>
      </w:r>
    </w:p>
    <w:p w14:paraId="1980D439"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Breach notice: H.R.S. § 487N-2 requires notice of a qualifying breach, subject to investigation, harm, timing, substitute-notice, and law-enforcement-delay provisions.</w:t>
      </w:r>
    </w:p>
    <w:p w14:paraId="7E5A5A28"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Article range: H.R.S. §§ 487N-1 through 487N-7; core notice, remedy, and reporting provisions are §§ 487N-1 through 487N-4.</w:t>
      </w:r>
    </w:p>
    <w:p w14:paraId="6B41AD5C"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Privacy rights: Additional Hawaii information-protection laws may apply; this module is limited to the listed authorities.</w:t>
      </w:r>
    </w:p>
    <w:p w14:paraId="51A493F0"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Security duties: Preserve breach findings, affected data, notices, dates, delay requests, regulator reports, and remediation records.</w:t>
      </w:r>
    </w:p>
    <w:p w14:paraId="31CC3F39"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t>STATE AG / Regulator Authority + Policies</w:t>
      </w:r>
    </w:p>
    <w:p w14:paraId="03A229CE"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Hawaii Office of Consumer Protection: Complaint intake, investigation, education, and UDAP enforcement.</w:t>
      </w:r>
    </w:p>
    <w:p w14:paraId="7F2A6ADF"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Hawaii Professional and Vocational Licensing Division: Collection-agency registration, complaints, investigation, and discipline.</w:t>
      </w:r>
    </w:p>
    <w:p w14:paraId="1952DF35"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Hawaii Division of Financial Institutions: Complaint pathway for regulated financial institutions and service providers.</w:t>
      </w:r>
    </w:p>
    <w:p w14:paraId="1B49A0D7" w14:textId="77777777" w:rsidR="00756B19" w:rsidRPr="00566B6A" w:rsidRDefault="00F247EE" w:rsidP="00566B6A">
      <w:pPr>
        <w:pStyle w:val="ListBullet"/>
        <w:spacing w:after="0" w:line="240" w:lineRule="auto"/>
        <w:rPr>
          <w:rFonts w:ascii="Courier New" w:hAnsi="Courier New" w:cs="Courier New"/>
          <w:bCs/>
          <w:sz w:val="22"/>
        </w:rPr>
      </w:pPr>
      <w:r w:rsidRPr="00566B6A">
        <w:rPr>
          <w:rFonts w:ascii="Courier New" w:hAnsi="Courier New" w:cs="Courier New"/>
          <w:bCs/>
          <w:sz w:val="22"/>
        </w:rPr>
        <w:t>Federal escalation: CFPB and FTC complaint pathways may complement state intake when federal consumer-finance or debt-collection law applies.</w:t>
      </w:r>
    </w:p>
    <w:p w14:paraId="72AC0E80" w14:textId="77777777" w:rsidR="00756B19" w:rsidRPr="00566B6A" w:rsidRDefault="00F247EE" w:rsidP="00566B6A">
      <w:pPr>
        <w:pStyle w:val="Heading2"/>
        <w:spacing w:before="100"/>
        <w:rPr>
          <w:rFonts w:ascii="Courier New" w:hAnsi="Courier New" w:cs="Courier New"/>
          <w:b w:val="0"/>
          <w:color w:val="auto"/>
          <w:sz w:val="22"/>
          <w:szCs w:val="22"/>
        </w:rPr>
      </w:pPr>
      <w:r w:rsidRPr="00566B6A">
        <w:rPr>
          <w:rFonts w:ascii="Courier New" w:eastAsia="Arial" w:hAnsi="Courier New" w:cs="Courier New"/>
          <w:b w:val="0"/>
          <w:color w:val="auto"/>
          <w:sz w:val="22"/>
          <w:szCs w:val="22"/>
        </w:rPr>
        <w:lastRenderedPageBreak/>
        <w:t>Local Ordinances</w:t>
      </w:r>
    </w:p>
    <w:p w14:paraId="4DB53FC2" w14:textId="77777777" w:rsidR="00756B19" w:rsidRPr="00566B6A" w:rsidRDefault="00F247EE" w:rsidP="00566B6A">
      <w:pPr>
        <w:spacing w:after="0"/>
        <w:rPr>
          <w:rFonts w:ascii="Courier New" w:hAnsi="Courier New" w:cs="Courier New"/>
          <w:bCs/>
          <w:sz w:val="22"/>
        </w:rPr>
      </w:pPr>
      <w:r w:rsidRPr="00566B6A">
        <w:rPr>
          <w:rFonts w:ascii="Courier New" w:hAnsi="Courier New" w:cs="Courier New"/>
          <w:bCs/>
          <w:sz w:val="22"/>
        </w:rPr>
        <w:t>Local ordinances are not typically controlling for credit-report disputes; none are identified without county verification.</w:t>
      </w:r>
    </w:p>
    <w:p w14:paraId="3D5BC7AC" w14:textId="77777777" w:rsidR="00566B6A" w:rsidRPr="00566B6A" w:rsidRDefault="00566B6A" w:rsidP="00566B6A">
      <w:pPr>
        <w:spacing w:after="0"/>
        <w:rPr>
          <w:rFonts w:ascii="Courier New" w:hAnsi="Courier New" w:cs="Courier New"/>
          <w:bCs/>
          <w:sz w:val="22"/>
        </w:rPr>
      </w:pPr>
    </w:p>
    <w:p w14:paraId="0507F54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State Authority Table</w:t>
      </w:r>
    </w:p>
    <w:tbl>
      <w:tblPr>
        <w:tblStyle w:val="TableGrid"/>
        <w:tblW w:w="0" w:type="auto"/>
        <w:jc w:val="center"/>
        <w:tblLayout w:type="fixed"/>
        <w:tblLook w:val="04A0" w:firstRow="1" w:lastRow="0" w:firstColumn="1" w:lastColumn="0" w:noHBand="0" w:noVBand="1"/>
      </w:tblPr>
      <w:tblGrid>
        <w:gridCol w:w="1440"/>
        <w:gridCol w:w="2448"/>
        <w:gridCol w:w="3168"/>
        <w:gridCol w:w="3456"/>
        <w:gridCol w:w="3888"/>
      </w:tblGrid>
      <w:tr w:rsidR="00756B19" w:rsidRPr="00566B6A" w14:paraId="70B347E4" w14:textId="77777777">
        <w:trPr>
          <w:cantSplit/>
          <w:tblHeader/>
          <w:jc w:val="center"/>
        </w:trPr>
        <w:tc>
          <w:tcPr>
            <w:tcW w:w="1440" w:type="dxa"/>
            <w:shd w:val="clear" w:color="auto" w:fill="D9EAF7"/>
            <w:tcMar>
              <w:top w:w="55" w:type="dxa"/>
              <w:left w:w="55" w:type="dxa"/>
              <w:bottom w:w="55" w:type="dxa"/>
              <w:right w:w="55" w:type="dxa"/>
            </w:tcMar>
            <w:vAlign w:val="center"/>
          </w:tcPr>
          <w:p w14:paraId="1D59EFA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Type</w:t>
            </w:r>
          </w:p>
        </w:tc>
        <w:tc>
          <w:tcPr>
            <w:tcW w:w="2448" w:type="dxa"/>
            <w:shd w:val="clear" w:color="auto" w:fill="D9EAF7"/>
            <w:tcMar>
              <w:top w:w="55" w:type="dxa"/>
              <w:left w:w="55" w:type="dxa"/>
              <w:bottom w:w="55" w:type="dxa"/>
              <w:right w:w="55" w:type="dxa"/>
            </w:tcMar>
            <w:vAlign w:val="center"/>
          </w:tcPr>
          <w:p w14:paraId="1E4A9B8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3168" w:type="dxa"/>
            <w:shd w:val="clear" w:color="auto" w:fill="D9EAF7"/>
            <w:tcMar>
              <w:top w:w="55" w:type="dxa"/>
              <w:left w:w="55" w:type="dxa"/>
              <w:bottom w:w="55" w:type="dxa"/>
              <w:right w:w="55" w:type="dxa"/>
            </w:tcMar>
            <w:vAlign w:val="center"/>
          </w:tcPr>
          <w:p w14:paraId="2F3C573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What it Covers</w:t>
            </w:r>
          </w:p>
        </w:tc>
        <w:tc>
          <w:tcPr>
            <w:tcW w:w="3456" w:type="dxa"/>
            <w:shd w:val="clear" w:color="auto" w:fill="D9EAF7"/>
            <w:tcMar>
              <w:top w:w="55" w:type="dxa"/>
              <w:left w:w="55" w:type="dxa"/>
              <w:bottom w:w="55" w:type="dxa"/>
              <w:right w:w="55" w:type="dxa"/>
            </w:tcMar>
            <w:vAlign w:val="center"/>
          </w:tcPr>
          <w:p w14:paraId="38E9B68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Remedies / Relief</w:t>
            </w:r>
          </w:p>
        </w:tc>
        <w:tc>
          <w:tcPr>
            <w:tcW w:w="3888" w:type="dxa"/>
            <w:shd w:val="clear" w:color="auto" w:fill="D9EAF7"/>
            <w:tcMar>
              <w:top w:w="55" w:type="dxa"/>
              <w:left w:w="55" w:type="dxa"/>
              <w:bottom w:w="55" w:type="dxa"/>
              <w:right w:w="55" w:type="dxa"/>
            </w:tcMar>
            <w:vAlign w:val="center"/>
          </w:tcPr>
          <w:p w14:paraId="790C876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How it Supports Record-Building</w:t>
            </w:r>
          </w:p>
        </w:tc>
      </w:tr>
      <w:tr w:rsidR="00756B19" w:rsidRPr="00566B6A" w14:paraId="03236664" w14:textId="77777777">
        <w:trPr>
          <w:cantSplit/>
          <w:jc w:val="center"/>
        </w:trPr>
        <w:tc>
          <w:tcPr>
            <w:tcW w:w="1440" w:type="dxa"/>
            <w:tcMar>
              <w:top w:w="50" w:type="dxa"/>
              <w:left w:w="55" w:type="dxa"/>
              <w:bottom w:w="50" w:type="dxa"/>
              <w:right w:w="55" w:type="dxa"/>
            </w:tcMar>
          </w:tcPr>
          <w:p w14:paraId="28D9EF2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4BB7EE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H.R.S. §§ 480-1–24</w:t>
            </w:r>
          </w:p>
        </w:tc>
        <w:tc>
          <w:tcPr>
            <w:tcW w:w="3168" w:type="dxa"/>
            <w:tcMar>
              <w:top w:w="50" w:type="dxa"/>
              <w:left w:w="55" w:type="dxa"/>
              <w:bottom w:w="50" w:type="dxa"/>
              <w:right w:w="55" w:type="dxa"/>
            </w:tcMar>
          </w:tcPr>
          <w:p w14:paraId="6A47731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in trade or commerce</w:t>
            </w:r>
          </w:p>
        </w:tc>
        <w:tc>
          <w:tcPr>
            <w:tcW w:w="3456" w:type="dxa"/>
            <w:tcMar>
              <w:top w:w="50" w:type="dxa"/>
              <w:left w:w="55" w:type="dxa"/>
              <w:bottom w:w="50" w:type="dxa"/>
              <w:right w:w="55" w:type="dxa"/>
            </w:tcMar>
          </w:tcPr>
          <w:p w14:paraId="5216E0F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Injunction; $1,000 or treble damages; fees/costs; public relief</w:t>
            </w:r>
          </w:p>
        </w:tc>
        <w:tc>
          <w:tcPr>
            <w:tcW w:w="3888" w:type="dxa"/>
            <w:tcMar>
              <w:top w:w="50" w:type="dxa"/>
              <w:left w:w="55" w:type="dxa"/>
              <w:bottom w:w="50" w:type="dxa"/>
              <w:right w:w="55" w:type="dxa"/>
            </w:tcMar>
          </w:tcPr>
          <w:p w14:paraId="52C24D7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Consumer status; practice; materiality; injury; causation; damages; timing</w:t>
            </w:r>
          </w:p>
        </w:tc>
      </w:tr>
      <w:tr w:rsidR="00756B19" w:rsidRPr="00566B6A" w14:paraId="6C013E47" w14:textId="77777777">
        <w:trPr>
          <w:cantSplit/>
          <w:jc w:val="center"/>
        </w:trPr>
        <w:tc>
          <w:tcPr>
            <w:tcW w:w="1440" w:type="dxa"/>
            <w:shd w:val="clear" w:color="auto" w:fill="F7FAFC"/>
            <w:tcMar>
              <w:top w:w="50" w:type="dxa"/>
              <w:left w:w="55" w:type="dxa"/>
              <w:bottom w:w="50" w:type="dxa"/>
              <w:right w:w="55" w:type="dxa"/>
            </w:tcMar>
          </w:tcPr>
          <w:p w14:paraId="001BC3B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44306F4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H.R.S. §§ 443B-1–21</w:t>
            </w:r>
          </w:p>
        </w:tc>
        <w:tc>
          <w:tcPr>
            <w:tcW w:w="3168" w:type="dxa"/>
            <w:shd w:val="clear" w:color="auto" w:fill="F7FAFC"/>
            <w:tcMar>
              <w:top w:w="50" w:type="dxa"/>
              <w:left w:w="55" w:type="dxa"/>
              <w:bottom w:w="50" w:type="dxa"/>
              <w:right w:w="55" w:type="dxa"/>
            </w:tcMar>
          </w:tcPr>
          <w:p w14:paraId="112A6DF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Agency registration and prohibited collection methods</w:t>
            </w:r>
          </w:p>
        </w:tc>
        <w:tc>
          <w:tcPr>
            <w:tcW w:w="3456" w:type="dxa"/>
            <w:shd w:val="clear" w:color="auto" w:fill="F7FAFC"/>
            <w:tcMar>
              <w:top w:w="50" w:type="dxa"/>
              <w:left w:w="55" w:type="dxa"/>
              <w:bottom w:w="50" w:type="dxa"/>
              <w:right w:w="55" w:type="dxa"/>
            </w:tcMar>
          </w:tcPr>
          <w:p w14:paraId="23C9E25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DCCA discipline; chapter 480 relief if standing/injury shown</w:t>
            </w:r>
          </w:p>
        </w:tc>
        <w:tc>
          <w:tcPr>
            <w:tcW w:w="3888" w:type="dxa"/>
            <w:shd w:val="clear" w:color="auto" w:fill="F7FAFC"/>
            <w:tcMar>
              <w:top w:w="50" w:type="dxa"/>
              <w:left w:w="55" w:type="dxa"/>
              <w:bottom w:w="50" w:type="dxa"/>
              <w:right w:w="55" w:type="dxa"/>
            </w:tcMar>
          </w:tcPr>
          <w:p w14:paraId="12FC16B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Collector status; registration; calls/letters; disputes; fees; ledger; injury</w:t>
            </w:r>
          </w:p>
        </w:tc>
      </w:tr>
      <w:tr w:rsidR="00756B19" w:rsidRPr="00566B6A" w14:paraId="162CDA0B" w14:textId="77777777">
        <w:trPr>
          <w:cantSplit/>
          <w:jc w:val="center"/>
        </w:trPr>
        <w:tc>
          <w:tcPr>
            <w:tcW w:w="1440" w:type="dxa"/>
            <w:tcMar>
              <w:top w:w="50" w:type="dxa"/>
              <w:left w:w="55" w:type="dxa"/>
              <w:bottom w:w="50" w:type="dxa"/>
              <w:right w:w="55" w:type="dxa"/>
            </w:tcMar>
          </w:tcPr>
          <w:p w14:paraId="06BF200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6D3C9EA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H.R.S. §§ 489P-1–6</w:t>
            </w:r>
          </w:p>
        </w:tc>
        <w:tc>
          <w:tcPr>
            <w:tcW w:w="3168" w:type="dxa"/>
            <w:tcMar>
              <w:top w:w="50" w:type="dxa"/>
              <w:left w:w="55" w:type="dxa"/>
              <w:bottom w:w="50" w:type="dxa"/>
              <w:right w:w="55" w:type="dxa"/>
            </w:tcMar>
          </w:tcPr>
          <w:p w14:paraId="499F855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 freezes and CRA duties</w:t>
            </w:r>
          </w:p>
        </w:tc>
        <w:tc>
          <w:tcPr>
            <w:tcW w:w="3456" w:type="dxa"/>
            <w:tcMar>
              <w:top w:w="50" w:type="dxa"/>
              <w:left w:w="55" w:type="dxa"/>
              <w:bottom w:w="50" w:type="dxa"/>
              <w:right w:w="55" w:type="dxa"/>
            </w:tcMar>
          </w:tcPr>
          <w:p w14:paraId="07CC6E8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 to $2,500 per violation; actual damages; possible fees</w:t>
            </w:r>
          </w:p>
        </w:tc>
        <w:tc>
          <w:tcPr>
            <w:tcW w:w="3888" w:type="dxa"/>
            <w:tcMar>
              <w:top w:w="50" w:type="dxa"/>
              <w:left w:w="55" w:type="dxa"/>
              <w:bottom w:w="50" w:type="dxa"/>
              <w:right w:w="55" w:type="dxa"/>
            </w:tcMar>
          </w:tcPr>
          <w:p w14:paraId="48B9ACF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Freeze request; confirmation; release; lift/removal; response; damages</w:t>
            </w:r>
          </w:p>
        </w:tc>
      </w:tr>
      <w:tr w:rsidR="00756B19" w:rsidRPr="00566B6A" w14:paraId="43EEC07D" w14:textId="77777777">
        <w:trPr>
          <w:cantSplit/>
          <w:jc w:val="center"/>
        </w:trPr>
        <w:tc>
          <w:tcPr>
            <w:tcW w:w="1440" w:type="dxa"/>
            <w:shd w:val="clear" w:color="auto" w:fill="F7FAFC"/>
            <w:tcMar>
              <w:top w:w="50" w:type="dxa"/>
              <w:left w:w="55" w:type="dxa"/>
              <w:bottom w:w="50" w:type="dxa"/>
              <w:right w:w="55" w:type="dxa"/>
            </w:tcMar>
          </w:tcPr>
          <w:p w14:paraId="51B5A3D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shd w:val="clear" w:color="auto" w:fill="F7FAFC"/>
            <w:tcMar>
              <w:top w:w="50" w:type="dxa"/>
              <w:left w:w="55" w:type="dxa"/>
              <w:bottom w:w="50" w:type="dxa"/>
              <w:right w:w="55" w:type="dxa"/>
            </w:tcMar>
          </w:tcPr>
          <w:p w14:paraId="405AA89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H.R.S. §§ 487N-1–4</w:t>
            </w:r>
          </w:p>
        </w:tc>
        <w:tc>
          <w:tcPr>
            <w:tcW w:w="3168" w:type="dxa"/>
            <w:shd w:val="clear" w:color="auto" w:fill="F7FAFC"/>
            <w:tcMar>
              <w:top w:w="50" w:type="dxa"/>
              <w:left w:w="55" w:type="dxa"/>
              <w:bottom w:w="50" w:type="dxa"/>
              <w:right w:w="55" w:type="dxa"/>
            </w:tcMar>
          </w:tcPr>
          <w:p w14:paraId="7102D25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notice, remedies, and reporting</w:t>
            </w:r>
          </w:p>
        </w:tc>
        <w:tc>
          <w:tcPr>
            <w:tcW w:w="3456" w:type="dxa"/>
            <w:shd w:val="clear" w:color="auto" w:fill="F7FAFC"/>
            <w:tcMar>
              <w:top w:w="50" w:type="dxa"/>
              <w:left w:w="55" w:type="dxa"/>
              <w:bottom w:w="50" w:type="dxa"/>
              <w:right w:w="55" w:type="dxa"/>
            </w:tcMar>
          </w:tcPr>
          <w:p w14:paraId="144C4E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Up to $2,500 per violation; actual damages; possible fees</w:t>
            </w:r>
          </w:p>
        </w:tc>
        <w:tc>
          <w:tcPr>
            <w:tcW w:w="3888" w:type="dxa"/>
            <w:shd w:val="clear" w:color="auto" w:fill="F7FAFC"/>
            <w:tcMar>
              <w:top w:w="50" w:type="dxa"/>
              <w:left w:w="55" w:type="dxa"/>
              <w:bottom w:w="50" w:type="dxa"/>
              <w:right w:w="55" w:type="dxa"/>
            </w:tcMar>
          </w:tcPr>
          <w:p w14:paraId="4E7A467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Breach findings; data; dates; notices; reports; remediation</w:t>
            </w:r>
          </w:p>
        </w:tc>
      </w:tr>
      <w:tr w:rsidR="00756B19" w:rsidRPr="00566B6A" w14:paraId="3E1BF9C4" w14:textId="77777777">
        <w:trPr>
          <w:cantSplit/>
          <w:jc w:val="center"/>
        </w:trPr>
        <w:tc>
          <w:tcPr>
            <w:tcW w:w="1440" w:type="dxa"/>
            <w:tcMar>
              <w:top w:w="50" w:type="dxa"/>
              <w:left w:w="55" w:type="dxa"/>
              <w:bottom w:w="50" w:type="dxa"/>
              <w:right w:w="55" w:type="dxa"/>
            </w:tcMar>
          </w:tcPr>
          <w:p w14:paraId="395B532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Statute/Act</w:t>
            </w:r>
          </w:p>
        </w:tc>
        <w:tc>
          <w:tcPr>
            <w:tcW w:w="2448" w:type="dxa"/>
            <w:tcMar>
              <w:top w:w="50" w:type="dxa"/>
              <w:left w:w="55" w:type="dxa"/>
              <w:bottom w:w="50" w:type="dxa"/>
              <w:right w:w="55" w:type="dxa"/>
            </w:tcMar>
          </w:tcPr>
          <w:p w14:paraId="7F91CD8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H.R.S. §§ 708-839.6–839.8</w:t>
            </w:r>
          </w:p>
        </w:tc>
        <w:tc>
          <w:tcPr>
            <w:tcW w:w="3168" w:type="dxa"/>
            <w:tcMar>
              <w:top w:w="50" w:type="dxa"/>
              <w:left w:w="55" w:type="dxa"/>
              <w:bottom w:w="50" w:type="dxa"/>
              <w:right w:w="55" w:type="dxa"/>
            </w:tcMar>
          </w:tcPr>
          <w:p w14:paraId="1787273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 theft by degree</w:t>
            </w:r>
          </w:p>
        </w:tc>
        <w:tc>
          <w:tcPr>
            <w:tcW w:w="3456" w:type="dxa"/>
            <w:tcMar>
              <w:top w:w="50" w:type="dxa"/>
              <w:left w:w="55" w:type="dxa"/>
              <w:bottom w:w="50" w:type="dxa"/>
              <w:right w:w="55" w:type="dxa"/>
            </w:tcMar>
          </w:tcPr>
          <w:p w14:paraId="36F7204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Criminal penalties and restoration evidence</w:t>
            </w:r>
          </w:p>
        </w:tc>
        <w:tc>
          <w:tcPr>
            <w:tcW w:w="3888" w:type="dxa"/>
            <w:tcMar>
              <w:top w:w="50" w:type="dxa"/>
              <w:left w:w="55" w:type="dxa"/>
              <w:bottom w:w="50" w:type="dxa"/>
              <w:right w:w="55" w:type="dxa"/>
            </w:tcMar>
          </w:tcPr>
          <w:p w14:paraId="419CF97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Police/FTC report; identity proof; fraudulent items; notices</w:t>
            </w:r>
          </w:p>
        </w:tc>
      </w:tr>
      <w:tr w:rsidR="00756B19" w:rsidRPr="00566B6A" w14:paraId="124EE685" w14:textId="77777777">
        <w:trPr>
          <w:cantSplit/>
          <w:jc w:val="center"/>
        </w:trPr>
        <w:tc>
          <w:tcPr>
            <w:tcW w:w="1440" w:type="dxa"/>
            <w:shd w:val="clear" w:color="auto" w:fill="F7FAFC"/>
            <w:tcMar>
              <w:top w:w="50" w:type="dxa"/>
              <w:left w:w="55" w:type="dxa"/>
              <w:bottom w:w="50" w:type="dxa"/>
              <w:right w:w="55" w:type="dxa"/>
            </w:tcMar>
          </w:tcPr>
          <w:p w14:paraId="5249A75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Policy</w:t>
            </w:r>
          </w:p>
        </w:tc>
        <w:tc>
          <w:tcPr>
            <w:tcW w:w="2448" w:type="dxa"/>
            <w:shd w:val="clear" w:color="auto" w:fill="F7FAFC"/>
            <w:tcMar>
              <w:top w:w="50" w:type="dxa"/>
              <w:left w:w="55" w:type="dxa"/>
              <w:bottom w:w="50" w:type="dxa"/>
              <w:right w:w="55" w:type="dxa"/>
            </w:tcMar>
          </w:tcPr>
          <w:p w14:paraId="6EA6D92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Hawaii OCP — chapter 487</w:t>
            </w:r>
          </w:p>
        </w:tc>
        <w:tc>
          <w:tcPr>
            <w:tcW w:w="3168" w:type="dxa"/>
            <w:shd w:val="clear" w:color="auto" w:fill="F7FAFC"/>
            <w:tcMar>
              <w:top w:w="50" w:type="dxa"/>
              <w:left w:w="55" w:type="dxa"/>
              <w:bottom w:w="50" w:type="dxa"/>
              <w:right w:w="55" w:type="dxa"/>
            </w:tcMar>
          </w:tcPr>
          <w:p w14:paraId="11E682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intake and UDAP enforcement</w:t>
            </w:r>
          </w:p>
        </w:tc>
        <w:tc>
          <w:tcPr>
            <w:tcW w:w="3456" w:type="dxa"/>
            <w:shd w:val="clear" w:color="auto" w:fill="F7FAFC"/>
            <w:tcMar>
              <w:top w:w="50" w:type="dxa"/>
              <w:left w:w="55" w:type="dxa"/>
              <w:bottom w:w="50" w:type="dxa"/>
              <w:right w:w="55" w:type="dxa"/>
            </w:tcMar>
          </w:tcPr>
          <w:p w14:paraId="531F57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Investigation, compliance, restitution, injunction, or enforcement</w:t>
            </w:r>
          </w:p>
        </w:tc>
        <w:tc>
          <w:tcPr>
            <w:tcW w:w="3888" w:type="dxa"/>
            <w:shd w:val="clear" w:color="auto" w:fill="F7FAFC"/>
            <w:tcMar>
              <w:top w:w="50" w:type="dxa"/>
              <w:left w:w="55" w:type="dxa"/>
              <w:bottom w:w="50" w:type="dxa"/>
              <w:right w:w="55" w:type="dxa"/>
            </w:tcMar>
          </w:tcPr>
          <w:p w14:paraId="7476F2D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Complaint ID; attachments; response; correspondence; chronology</w:t>
            </w:r>
          </w:p>
        </w:tc>
      </w:tr>
      <w:tr w:rsidR="00756B19" w:rsidRPr="00566B6A" w14:paraId="262FD99D" w14:textId="77777777">
        <w:trPr>
          <w:cantSplit/>
          <w:jc w:val="center"/>
        </w:trPr>
        <w:tc>
          <w:tcPr>
            <w:tcW w:w="1440" w:type="dxa"/>
            <w:tcMar>
              <w:top w:w="50" w:type="dxa"/>
              <w:left w:w="55" w:type="dxa"/>
              <w:bottom w:w="50" w:type="dxa"/>
              <w:right w:w="55" w:type="dxa"/>
            </w:tcMar>
          </w:tcPr>
          <w:p w14:paraId="77EE29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Regulator</w:t>
            </w:r>
          </w:p>
        </w:tc>
        <w:tc>
          <w:tcPr>
            <w:tcW w:w="2448" w:type="dxa"/>
            <w:tcMar>
              <w:top w:w="50" w:type="dxa"/>
              <w:left w:w="55" w:type="dxa"/>
              <w:bottom w:w="50" w:type="dxa"/>
              <w:right w:w="55" w:type="dxa"/>
            </w:tcMar>
          </w:tcPr>
          <w:p w14:paraId="06C09B0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DCCA PVL / DFI</w:t>
            </w:r>
          </w:p>
        </w:tc>
        <w:tc>
          <w:tcPr>
            <w:tcW w:w="3168" w:type="dxa"/>
            <w:tcMar>
              <w:top w:w="50" w:type="dxa"/>
              <w:left w:w="55" w:type="dxa"/>
              <w:bottom w:w="50" w:type="dxa"/>
              <w:right w:w="55" w:type="dxa"/>
            </w:tcMar>
          </w:tcPr>
          <w:p w14:paraId="2608073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Collection agencies and financial providers</w:t>
            </w:r>
          </w:p>
        </w:tc>
        <w:tc>
          <w:tcPr>
            <w:tcW w:w="3456" w:type="dxa"/>
            <w:tcMar>
              <w:top w:w="50" w:type="dxa"/>
              <w:left w:w="55" w:type="dxa"/>
              <w:bottom w:w="50" w:type="dxa"/>
              <w:right w:w="55" w:type="dxa"/>
            </w:tcMar>
          </w:tcPr>
          <w:p w14:paraId="1D0A11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Registration, complaints, examination, discipline, or administrative action</w:t>
            </w:r>
          </w:p>
        </w:tc>
        <w:tc>
          <w:tcPr>
            <w:tcW w:w="3888" w:type="dxa"/>
            <w:tcMar>
              <w:top w:w="50" w:type="dxa"/>
              <w:left w:w="55" w:type="dxa"/>
              <w:bottom w:w="50" w:type="dxa"/>
              <w:right w:w="55" w:type="dxa"/>
            </w:tcMar>
          </w:tcPr>
          <w:p w14:paraId="265F042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License lookup; complaint file; regulator correspondence; classification</w:t>
            </w:r>
          </w:p>
        </w:tc>
      </w:tr>
      <w:tr w:rsidR="00756B19" w:rsidRPr="00566B6A" w14:paraId="7DA490AC" w14:textId="77777777">
        <w:trPr>
          <w:cantSplit/>
          <w:jc w:val="center"/>
        </w:trPr>
        <w:tc>
          <w:tcPr>
            <w:tcW w:w="1440" w:type="dxa"/>
            <w:shd w:val="clear" w:color="auto" w:fill="F7FAFC"/>
            <w:tcMar>
              <w:top w:w="50" w:type="dxa"/>
              <w:left w:w="55" w:type="dxa"/>
              <w:bottom w:w="50" w:type="dxa"/>
              <w:right w:w="55" w:type="dxa"/>
            </w:tcMar>
          </w:tcPr>
          <w:p w14:paraId="14BC166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Ordinance</w:t>
            </w:r>
          </w:p>
        </w:tc>
        <w:tc>
          <w:tcPr>
            <w:tcW w:w="2448" w:type="dxa"/>
            <w:shd w:val="clear" w:color="auto" w:fill="F7FAFC"/>
            <w:tcMar>
              <w:top w:w="50" w:type="dxa"/>
              <w:left w:w="55" w:type="dxa"/>
              <w:bottom w:w="50" w:type="dxa"/>
              <w:right w:w="55" w:type="dxa"/>
            </w:tcMar>
          </w:tcPr>
          <w:p w14:paraId="0EB45A5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168" w:type="dxa"/>
            <w:shd w:val="clear" w:color="auto" w:fill="F7FAFC"/>
            <w:tcMar>
              <w:top w:w="50" w:type="dxa"/>
              <w:left w:w="55" w:type="dxa"/>
              <w:bottom w:w="50" w:type="dxa"/>
              <w:right w:w="55" w:type="dxa"/>
            </w:tcMar>
          </w:tcPr>
          <w:p w14:paraId="37FB7FA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County consumer-affairs provisions</w:t>
            </w:r>
          </w:p>
        </w:tc>
        <w:tc>
          <w:tcPr>
            <w:tcW w:w="3456" w:type="dxa"/>
            <w:shd w:val="clear" w:color="auto" w:fill="F7FAFC"/>
            <w:tcMar>
              <w:top w:w="50" w:type="dxa"/>
              <w:left w:w="55" w:type="dxa"/>
              <w:bottom w:w="50" w:type="dxa"/>
              <w:right w:w="55" w:type="dxa"/>
            </w:tcMar>
          </w:tcPr>
          <w:p w14:paraId="465DB3D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Verification Required</w:t>
            </w:r>
          </w:p>
        </w:tc>
        <w:tc>
          <w:tcPr>
            <w:tcW w:w="3888" w:type="dxa"/>
            <w:shd w:val="clear" w:color="auto" w:fill="F7FAFC"/>
            <w:tcMar>
              <w:top w:w="50" w:type="dxa"/>
              <w:left w:w="55" w:type="dxa"/>
              <w:bottom w:w="50" w:type="dxa"/>
              <w:right w:w="55" w:type="dxa"/>
            </w:tcMar>
          </w:tcPr>
          <w:p w14:paraId="13C8139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Secondary to Hawaii and federal frameworks</w:t>
            </w:r>
          </w:p>
        </w:tc>
      </w:tr>
      <w:tr w:rsidR="00756B19" w:rsidRPr="00566B6A" w14:paraId="142EAAD8" w14:textId="77777777">
        <w:trPr>
          <w:jc w:val="center"/>
        </w:trPr>
        <w:tc>
          <w:tcPr>
            <w:tcW w:w="1440" w:type="dxa"/>
          </w:tcPr>
          <w:p w14:paraId="2D4F0A40"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4C490527" w14:textId="77777777" w:rsidR="00756B19" w:rsidRPr="00566B6A" w:rsidRDefault="00F247EE">
            <w:pPr>
              <w:rPr>
                <w:rFonts w:ascii="Courier New" w:hAnsi="Courier New" w:cs="Courier New"/>
                <w:sz w:val="22"/>
              </w:rPr>
            </w:pPr>
            <w:r w:rsidRPr="00566B6A">
              <w:rPr>
                <w:rFonts w:ascii="Courier New" w:hAnsi="Courier New" w:cs="Courier New"/>
                <w:sz w:val="22"/>
              </w:rPr>
              <w:t>15 U.S.C. §§ 1681a(g), 1681e(b), 1681g(a), 1681i(a), (d)</w:t>
            </w:r>
          </w:p>
        </w:tc>
        <w:tc>
          <w:tcPr>
            <w:tcW w:w="3168" w:type="dxa"/>
          </w:tcPr>
          <w:p w14:paraId="28578315" w14:textId="77777777" w:rsidR="00756B19" w:rsidRPr="00566B6A" w:rsidRDefault="00F247EE">
            <w:pPr>
              <w:rPr>
                <w:rFonts w:ascii="Courier New" w:hAnsi="Courier New" w:cs="Courier New"/>
                <w:sz w:val="22"/>
              </w:rPr>
            </w:pPr>
            <w:r w:rsidRPr="00566B6A">
              <w:rPr>
                <w:rFonts w:ascii="Courier New" w:hAnsi="Courier New" w:cs="Courier New"/>
                <w:sz w:val="22"/>
              </w:rPr>
              <w:t>Personal identifiers and employer information in the consumer file; disclosure, accuracy, reinvestigation, correction, and deletion</w:t>
            </w:r>
          </w:p>
        </w:tc>
        <w:tc>
          <w:tcPr>
            <w:tcW w:w="3456" w:type="dxa"/>
          </w:tcPr>
          <w:p w14:paraId="404C9545" w14:textId="77777777" w:rsidR="00756B19" w:rsidRPr="00566B6A" w:rsidRDefault="00F247EE">
            <w:pPr>
              <w:rPr>
                <w:rFonts w:ascii="Courier New" w:hAnsi="Courier New" w:cs="Courier New"/>
                <w:sz w:val="22"/>
              </w:rPr>
            </w:pPr>
            <w:r w:rsidRPr="00566B6A">
              <w:rPr>
                <w:rFonts w:ascii="Courier New" w:hAnsi="Courier New" w:cs="Courier New"/>
                <w:sz w:val="22"/>
              </w:rPr>
              <w:t>Free reasonable reinvestigation; revised report; prompt deletion or modification of inaccurate, incomplete, or unverifiable information; reinsertion safeguards</w:t>
            </w:r>
          </w:p>
        </w:tc>
        <w:tc>
          <w:tcPr>
            <w:tcW w:w="3888" w:type="dxa"/>
          </w:tcPr>
          <w:p w14:paraId="55074D55" w14:textId="77777777" w:rsidR="00756B19" w:rsidRPr="00566B6A" w:rsidRDefault="00F247EE">
            <w:pPr>
              <w:rPr>
                <w:rFonts w:ascii="Courier New" w:hAnsi="Courier New" w:cs="Courier New"/>
                <w:sz w:val="22"/>
              </w:rPr>
            </w:pPr>
            <w:r w:rsidRPr="00566B6A">
              <w:rPr>
                <w:rFonts w:ascii="Courier New" w:hAnsi="Courier New" w:cs="Courier New"/>
                <w:sz w:val="22"/>
              </w:rPr>
              <w:t>Credit-report page; proof of identity/current address; employer records; source request; dispute confirmation; revised report</w:t>
            </w:r>
          </w:p>
        </w:tc>
      </w:tr>
      <w:tr w:rsidR="00756B19" w:rsidRPr="00566B6A" w14:paraId="4F144921" w14:textId="77777777">
        <w:trPr>
          <w:jc w:val="center"/>
        </w:trPr>
        <w:tc>
          <w:tcPr>
            <w:tcW w:w="1440" w:type="dxa"/>
          </w:tcPr>
          <w:p w14:paraId="5D5CE8B3" w14:textId="77777777" w:rsidR="00756B19" w:rsidRPr="00566B6A" w:rsidRDefault="00F247EE">
            <w:pPr>
              <w:rPr>
                <w:rFonts w:ascii="Courier New" w:hAnsi="Courier New" w:cs="Courier New"/>
                <w:sz w:val="22"/>
              </w:rPr>
            </w:pPr>
            <w:r w:rsidRPr="00566B6A">
              <w:rPr>
                <w:rFonts w:ascii="Courier New" w:hAnsi="Courier New" w:cs="Courier New"/>
                <w:sz w:val="22"/>
              </w:rPr>
              <w:t>Federal Statute</w:t>
            </w:r>
          </w:p>
        </w:tc>
        <w:tc>
          <w:tcPr>
            <w:tcW w:w="2448" w:type="dxa"/>
          </w:tcPr>
          <w:p w14:paraId="5057F8C3" w14:textId="77777777" w:rsidR="00756B19" w:rsidRPr="00566B6A" w:rsidRDefault="00F247EE">
            <w:pPr>
              <w:rPr>
                <w:rFonts w:ascii="Courier New" w:hAnsi="Courier New" w:cs="Courier New"/>
                <w:sz w:val="22"/>
              </w:rPr>
            </w:pPr>
            <w:r w:rsidRPr="00566B6A">
              <w:rPr>
                <w:rFonts w:ascii="Courier New" w:hAnsi="Courier New" w:cs="Courier New"/>
                <w:sz w:val="22"/>
              </w:rPr>
              <w:t>15 U.S.C. §§ 1681s-2(b), 1681c-2</w:t>
            </w:r>
          </w:p>
        </w:tc>
        <w:tc>
          <w:tcPr>
            <w:tcW w:w="3168" w:type="dxa"/>
          </w:tcPr>
          <w:p w14:paraId="59EF3398" w14:textId="77777777" w:rsidR="00756B19" w:rsidRPr="00566B6A" w:rsidRDefault="00F247EE">
            <w:pPr>
              <w:rPr>
                <w:rFonts w:ascii="Courier New" w:hAnsi="Courier New" w:cs="Courier New"/>
                <w:sz w:val="22"/>
              </w:rPr>
            </w:pPr>
            <w:r w:rsidRPr="00566B6A">
              <w:rPr>
                <w:rFonts w:ascii="Courier New" w:hAnsi="Courier New" w:cs="Courier New"/>
                <w:sz w:val="22"/>
              </w:rPr>
              <w:t>Furnisher duties after CRA dispute notice; blocking of identity-theft information</w:t>
            </w:r>
          </w:p>
        </w:tc>
        <w:tc>
          <w:tcPr>
            <w:tcW w:w="3456" w:type="dxa"/>
          </w:tcPr>
          <w:p w14:paraId="489B377E" w14:textId="77777777" w:rsidR="00756B19" w:rsidRPr="00566B6A" w:rsidRDefault="00F247EE">
            <w:pPr>
              <w:rPr>
                <w:rFonts w:ascii="Courier New" w:hAnsi="Courier New" w:cs="Courier New"/>
                <w:sz w:val="22"/>
              </w:rPr>
            </w:pPr>
            <w:r w:rsidRPr="00566B6A">
              <w:rPr>
                <w:rFonts w:ascii="Courier New" w:hAnsi="Courier New" w:cs="Courier New"/>
                <w:sz w:val="22"/>
              </w:rPr>
              <w:t>Investigation and modification, deletion, or permanent block where applicable; identity-theft block after required documentation</w:t>
            </w:r>
          </w:p>
        </w:tc>
        <w:tc>
          <w:tcPr>
            <w:tcW w:w="3888" w:type="dxa"/>
          </w:tcPr>
          <w:p w14:paraId="05ACBE7C" w14:textId="77777777" w:rsidR="00756B19" w:rsidRPr="00566B6A" w:rsidRDefault="00F247EE">
            <w:pPr>
              <w:rPr>
                <w:rFonts w:ascii="Courier New" w:hAnsi="Courier New" w:cs="Courier New"/>
                <w:sz w:val="22"/>
              </w:rPr>
            </w:pPr>
            <w:r w:rsidRPr="00566B6A">
              <w:rPr>
                <w:rFonts w:ascii="Courier New" w:hAnsi="Courier New" w:cs="Courier New"/>
                <w:sz w:val="22"/>
              </w:rPr>
              <w:t>CRA dispute ID; identity-theft report; proof of identity; exact disputed identifiers; furnisher and bureau responses</w:t>
            </w:r>
          </w:p>
        </w:tc>
      </w:tr>
      <w:tr w:rsidR="00756B19" w:rsidRPr="00566B6A" w14:paraId="5A638836" w14:textId="77777777">
        <w:trPr>
          <w:jc w:val="center"/>
        </w:trPr>
        <w:tc>
          <w:tcPr>
            <w:tcW w:w="1440" w:type="dxa"/>
          </w:tcPr>
          <w:p w14:paraId="584645A9" w14:textId="77777777" w:rsidR="00756B19" w:rsidRPr="00566B6A" w:rsidRDefault="00F247EE">
            <w:pPr>
              <w:rPr>
                <w:rFonts w:ascii="Courier New" w:hAnsi="Courier New" w:cs="Courier New"/>
                <w:sz w:val="22"/>
              </w:rPr>
            </w:pPr>
            <w:r w:rsidRPr="00566B6A">
              <w:rPr>
                <w:rFonts w:ascii="Courier New" w:hAnsi="Courier New" w:cs="Courier New"/>
                <w:sz w:val="22"/>
              </w:rPr>
              <w:t>Federal Regulation</w:t>
            </w:r>
          </w:p>
        </w:tc>
        <w:tc>
          <w:tcPr>
            <w:tcW w:w="2448" w:type="dxa"/>
          </w:tcPr>
          <w:p w14:paraId="1AEB59F6" w14:textId="77777777" w:rsidR="00756B19" w:rsidRPr="00566B6A" w:rsidRDefault="00F247EE">
            <w:pPr>
              <w:rPr>
                <w:rFonts w:ascii="Courier New" w:hAnsi="Courier New" w:cs="Courier New"/>
                <w:sz w:val="22"/>
              </w:rPr>
            </w:pPr>
            <w:r w:rsidRPr="00566B6A">
              <w:rPr>
                <w:rFonts w:ascii="Courier New" w:hAnsi="Courier New" w:cs="Courier New"/>
                <w:sz w:val="22"/>
              </w:rPr>
              <w:t>12 C.F.R. § 1022.43(b)(1)(i)–(ii)</w:t>
            </w:r>
          </w:p>
        </w:tc>
        <w:tc>
          <w:tcPr>
            <w:tcW w:w="3168" w:type="dxa"/>
          </w:tcPr>
          <w:p w14:paraId="51E6E59E" w14:textId="77777777" w:rsidR="00756B19" w:rsidRPr="00566B6A" w:rsidRDefault="00F247EE">
            <w:pPr>
              <w:rPr>
                <w:rFonts w:ascii="Courier New" w:hAnsi="Courier New" w:cs="Courier New"/>
                <w:sz w:val="22"/>
              </w:rPr>
            </w:pPr>
            <w:r w:rsidRPr="00566B6A">
              <w:rPr>
                <w:rFonts w:ascii="Courier New" w:hAnsi="Courier New" w:cs="Courier New"/>
                <w:sz w:val="22"/>
              </w:rPr>
              <w:t>Direct-furnisher dispute exception for identifying information, addresses, telephone numbers, and past or present employers</w:t>
            </w:r>
          </w:p>
        </w:tc>
        <w:tc>
          <w:tcPr>
            <w:tcW w:w="3456" w:type="dxa"/>
          </w:tcPr>
          <w:p w14:paraId="2203C188" w14:textId="77777777" w:rsidR="00756B19" w:rsidRPr="00566B6A" w:rsidRDefault="00F247EE">
            <w:pPr>
              <w:rPr>
                <w:rFonts w:ascii="Courier New" w:hAnsi="Courier New" w:cs="Courier New"/>
                <w:sz w:val="22"/>
              </w:rPr>
            </w:pPr>
            <w:r w:rsidRPr="00566B6A">
              <w:rPr>
                <w:rFonts w:ascii="Courier New" w:hAnsi="Courier New" w:cs="Courier New"/>
                <w:sz w:val="22"/>
              </w:rPr>
              <w:t>Routes the primary identifying-information dispute to the consumer reporting agency; CRA-to-furnisher duties may apply after agency notice</w:t>
            </w:r>
          </w:p>
        </w:tc>
        <w:tc>
          <w:tcPr>
            <w:tcW w:w="3888" w:type="dxa"/>
          </w:tcPr>
          <w:p w14:paraId="05243DCD" w14:textId="77777777" w:rsidR="00756B19" w:rsidRPr="00566B6A" w:rsidRDefault="00F247EE">
            <w:pPr>
              <w:rPr>
                <w:rFonts w:ascii="Courier New" w:hAnsi="Courier New" w:cs="Courier New"/>
                <w:sz w:val="22"/>
              </w:rPr>
            </w:pPr>
            <w:r w:rsidRPr="00566B6A">
              <w:rPr>
                <w:rFonts w:ascii="Courier New" w:hAnsi="Courier New" w:cs="Courier New"/>
                <w:sz w:val="22"/>
              </w:rPr>
              <w:t>Avoid misrouting; preserve bureau submission, supporting documents, transmission record, and investigation results</w:t>
            </w:r>
          </w:p>
        </w:tc>
      </w:tr>
    </w:tbl>
    <w:p w14:paraId="376D55E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B — STATE CASE LAW LIBRARY (REQUIRED)</w:t>
      </w:r>
    </w:p>
    <w:p w14:paraId="7886954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Hawaii (HI)</w:t>
      </w:r>
    </w:p>
    <w:p w14:paraId="5E18B9E0"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Educational module — no liability conclusions. Flores addresses chapter 443B registration, chapter 480 consumer status, and injury; unregistered collection alone does not automatically establish private damages.</w:t>
      </w:r>
    </w:p>
    <w:p w14:paraId="759FA981"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Topic: UDAP / Consumer Deception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195D9346" w14:textId="77777777">
        <w:trPr>
          <w:cantSplit/>
          <w:tblHeader/>
          <w:jc w:val="center"/>
        </w:trPr>
        <w:tc>
          <w:tcPr>
            <w:tcW w:w="2232" w:type="dxa"/>
            <w:shd w:val="clear" w:color="auto" w:fill="D9EAF7"/>
            <w:tcMar>
              <w:top w:w="55" w:type="dxa"/>
              <w:left w:w="55" w:type="dxa"/>
              <w:bottom w:w="55" w:type="dxa"/>
              <w:right w:w="55" w:type="dxa"/>
            </w:tcMar>
            <w:vAlign w:val="center"/>
          </w:tcPr>
          <w:p w14:paraId="09369F9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0F963DA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11C7ED90"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3DF1622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04EB4B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16781F8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4E256A76" w14:textId="77777777">
        <w:trPr>
          <w:cantSplit/>
          <w:jc w:val="center"/>
        </w:trPr>
        <w:tc>
          <w:tcPr>
            <w:tcW w:w="2232" w:type="dxa"/>
            <w:tcMar>
              <w:top w:w="50" w:type="dxa"/>
              <w:left w:w="55" w:type="dxa"/>
              <w:bottom w:w="50" w:type="dxa"/>
              <w:right w:w="55" w:type="dxa"/>
            </w:tcMar>
          </w:tcPr>
          <w:p w14:paraId="35E79E2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Courbat v. Dahana Ranch, Inc.</w:t>
            </w:r>
          </w:p>
        </w:tc>
        <w:tc>
          <w:tcPr>
            <w:tcW w:w="1152" w:type="dxa"/>
            <w:tcMar>
              <w:top w:w="50" w:type="dxa"/>
              <w:left w:w="55" w:type="dxa"/>
              <w:bottom w:w="50" w:type="dxa"/>
              <w:right w:w="55" w:type="dxa"/>
            </w:tcMar>
          </w:tcPr>
          <w:p w14:paraId="11AA06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 Sup. Ct.</w:t>
            </w:r>
          </w:p>
        </w:tc>
        <w:tc>
          <w:tcPr>
            <w:tcW w:w="748" w:type="dxa"/>
            <w:tcMar>
              <w:top w:w="50" w:type="dxa"/>
              <w:left w:w="55" w:type="dxa"/>
              <w:bottom w:w="50" w:type="dxa"/>
              <w:right w:w="55" w:type="dxa"/>
            </w:tcMar>
          </w:tcPr>
          <w:p w14:paraId="42BD6E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785673F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111 Hawai‘i 254, 141 P.3d 427</w:t>
            </w:r>
          </w:p>
        </w:tc>
        <w:tc>
          <w:tcPr>
            <w:tcW w:w="4536" w:type="dxa"/>
            <w:tcMar>
              <w:top w:w="50" w:type="dxa"/>
              <w:left w:w="55" w:type="dxa"/>
              <w:bottom w:w="50" w:type="dxa"/>
              <w:right w:w="55" w:type="dxa"/>
            </w:tcMar>
          </w:tcPr>
          <w:p w14:paraId="27AB7EB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deceptive practice is objectively likely to mislead reasonable consumers and is material; intent to deceive and actual deception of every consumer are not required.</w:t>
            </w:r>
          </w:p>
        </w:tc>
        <w:tc>
          <w:tcPr>
            <w:tcW w:w="3643" w:type="dxa"/>
            <w:tcMar>
              <w:top w:w="50" w:type="dxa"/>
              <w:left w:w="55" w:type="dxa"/>
              <w:bottom w:w="50" w:type="dxa"/>
              <w:right w:w="55" w:type="dxa"/>
            </w:tcMar>
          </w:tcPr>
          <w:p w14:paraId="7929A82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material representation or omission; preserve advertising, transaction records, injury, and causation evidence.</w:t>
            </w:r>
          </w:p>
        </w:tc>
      </w:tr>
      <w:tr w:rsidR="00756B19" w:rsidRPr="00566B6A" w14:paraId="62B74FC9" w14:textId="77777777">
        <w:trPr>
          <w:cantSplit/>
          <w:jc w:val="center"/>
        </w:trPr>
        <w:tc>
          <w:tcPr>
            <w:tcW w:w="2232" w:type="dxa"/>
            <w:shd w:val="clear" w:color="auto" w:fill="F7FAFC"/>
            <w:tcMar>
              <w:top w:w="50" w:type="dxa"/>
              <w:left w:w="55" w:type="dxa"/>
              <w:bottom w:w="50" w:type="dxa"/>
              <w:right w:w="55" w:type="dxa"/>
            </w:tcMar>
          </w:tcPr>
          <w:p w14:paraId="0C721F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Zanakis-Pico v. Cutter Dodge, Inc.</w:t>
            </w:r>
          </w:p>
        </w:tc>
        <w:tc>
          <w:tcPr>
            <w:tcW w:w="1152" w:type="dxa"/>
            <w:shd w:val="clear" w:color="auto" w:fill="F7FAFC"/>
            <w:tcMar>
              <w:top w:w="50" w:type="dxa"/>
              <w:left w:w="55" w:type="dxa"/>
              <w:bottom w:w="50" w:type="dxa"/>
              <w:right w:w="55" w:type="dxa"/>
            </w:tcMar>
          </w:tcPr>
          <w:p w14:paraId="1141EEB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 Sup. Ct.</w:t>
            </w:r>
          </w:p>
        </w:tc>
        <w:tc>
          <w:tcPr>
            <w:tcW w:w="748" w:type="dxa"/>
            <w:shd w:val="clear" w:color="auto" w:fill="F7FAFC"/>
            <w:tcMar>
              <w:top w:w="50" w:type="dxa"/>
              <w:left w:w="55" w:type="dxa"/>
              <w:bottom w:w="50" w:type="dxa"/>
              <w:right w:w="55" w:type="dxa"/>
            </w:tcMar>
          </w:tcPr>
          <w:p w14:paraId="296F0E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shd w:val="clear" w:color="auto" w:fill="F7FAFC"/>
            <w:tcMar>
              <w:top w:w="50" w:type="dxa"/>
              <w:left w:w="55" w:type="dxa"/>
              <w:bottom w:w="50" w:type="dxa"/>
              <w:right w:w="55" w:type="dxa"/>
            </w:tcMar>
          </w:tcPr>
          <w:p w14:paraId="249CD2B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98 Hawai‘i 309, 47 P.3d 1222</w:t>
            </w:r>
          </w:p>
        </w:tc>
        <w:tc>
          <w:tcPr>
            <w:tcW w:w="4536" w:type="dxa"/>
            <w:shd w:val="clear" w:color="auto" w:fill="F7FAFC"/>
            <w:tcMar>
              <w:top w:w="50" w:type="dxa"/>
              <w:left w:w="55" w:type="dxa"/>
              <w:bottom w:w="50" w:type="dxa"/>
              <w:right w:w="55" w:type="dxa"/>
            </w:tcMar>
          </w:tcPr>
          <w:p w14:paraId="2F4CCC4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benefit-of-the-bargain damages under chapter 480 when competent evidence shows the value represented and the value received.</w:t>
            </w:r>
          </w:p>
        </w:tc>
        <w:tc>
          <w:tcPr>
            <w:tcW w:w="3643" w:type="dxa"/>
            <w:shd w:val="clear" w:color="auto" w:fill="F7FAFC"/>
            <w:tcMar>
              <w:top w:w="50" w:type="dxa"/>
              <w:left w:w="55" w:type="dxa"/>
              <w:bottom w:w="50" w:type="dxa"/>
              <w:right w:w="55" w:type="dxa"/>
            </w:tcMar>
          </w:tcPr>
          <w:p w14:paraId="3045040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advertised value, actual value, repair/appraisal evidence, payments, and damages calculation.</w:t>
            </w:r>
          </w:p>
        </w:tc>
      </w:tr>
    </w:tbl>
    <w:p w14:paraId="2D7CBF6B" w14:textId="77777777" w:rsidR="00756B19" w:rsidRPr="00566B6A" w:rsidRDefault="00756B19">
      <w:pPr>
        <w:spacing w:after="20"/>
        <w:rPr>
          <w:rFonts w:ascii="Courier New" w:hAnsi="Courier New" w:cs="Courier New"/>
          <w:sz w:val="22"/>
        </w:rPr>
      </w:pPr>
    </w:p>
    <w:p w14:paraId="25C826D7"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Topic: Debt Collection</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74A6C317" w14:textId="77777777">
        <w:trPr>
          <w:cantSplit/>
          <w:tblHeader/>
          <w:jc w:val="center"/>
        </w:trPr>
        <w:tc>
          <w:tcPr>
            <w:tcW w:w="2232" w:type="dxa"/>
            <w:shd w:val="clear" w:color="auto" w:fill="D9EAF7"/>
            <w:tcMar>
              <w:top w:w="55" w:type="dxa"/>
              <w:left w:w="55" w:type="dxa"/>
              <w:bottom w:w="55" w:type="dxa"/>
              <w:right w:w="55" w:type="dxa"/>
            </w:tcMar>
            <w:vAlign w:val="center"/>
          </w:tcPr>
          <w:p w14:paraId="0A86DE1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73023BD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37BDB49E"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03C6D64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7E16790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F2E776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6CA30122" w14:textId="77777777">
        <w:trPr>
          <w:cantSplit/>
          <w:jc w:val="center"/>
        </w:trPr>
        <w:tc>
          <w:tcPr>
            <w:tcW w:w="2232" w:type="dxa"/>
            <w:tcMar>
              <w:top w:w="50" w:type="dxa"/>
              <w:left w:w="55" w:type="dxa"/>
              <w:bottom w:w="50" w:type="dxa"/>
              <w:right w:w="55" w:type="dxa"/>
            </w:tcMar>
          </w:tcPr>
          <w:p w14:paraId="3C9737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Flores v. Rawlings Co., LLC</w:t>
            </w:r>
          </w:p>
        </w:tc>
        <w:tc>
          <w:tcPr>
            <w:tcW w:w="1152" w:type="dxa"/>
            <w:tcMar>
              <w:top w:w="50" w:type="dxa"/>
              <w:left w:w="55" w:type="dxa"/>
              <w:bottom w:w="50" w:type="dxa"/>
              <w:right w:w="55" w:type="dxa"/>
            </w:tcMar>
          </w:tcPr>
          <w:p w14:paraId="1027C49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 Sup. Ct.</w:t>
            </w:r>
          </w:p>
        </w:tc>
        <w:tc>
          <w:tcPr>
            <w:tcW w:w="748" w:type="dxa"/>
            <w:tcMar>
              <w:top w:w="50" w:type="dxa"/>
              <w:left w:w="55" w:type="dxa"/>
              <w:bottom w:w="50" w:type="dxa"/>
              <w:right w:w="55" w:type="dxa"/>
            </w:tcMar>
          </w:tcPr>
          <w:p w14:paraId="60ACB62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5CD5014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117 Hawai‘i 153, 177 P.3d 341</w:t>
            </w:r>
          </w:p>
        </w:tc>
        <w:tc>
          <w:tcPr>
            <w:tcW w:w="4536" w:type="dxa"/>
            <w:tcMar>
              <w:top w:w="50" w:type="dxa"/>
              <w:left w:w="55" w:type="dxa"/>
              <w:bottom w:w="50" w:type="dxa"/>
              <w:right w:w="55" w:type="dxa"/>
            </w:tcMar>
          </w:tcPr>
          <w:p w14:paraId="72A0194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443B may be enforced through chapter 480 only when consumer and injury requirements are met; paying a valid obligation to an unregistered collector did not alone establish injury.</w:t>
            </w:r>
          </w:p>
        </w:tc>
        <w:tc>
          <w:tcPr>
            <w:tcW w:w="3643" w:type="dxa"/>
            <w:tcMar>
              <w:top w:w="50" w:type="dxa"/>
              <w:left w:w="55" w:type="dxa"/>
              <w:bottom w:w="50" w:type="dxa"/>
              <w:right w:w="55" w:type="dxa"/>
            </w:tcMar>
          </w:tcPr>
          <w:p w14:paraId="02F7848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registration, demands, payments, threats, deceptive statements, fees, disputes, and proof connecting prohibited conduct to injury.</w:t>
            </w:r>
          </w:p>
        </w:tc>
      </w:tr>
    </w:tbl>
    <w:p w14:paraId="446F5F01" w14:textId="77777777" w:rsidR="00756B19" w:rsidRPr="00566B6A" w:rsidRDefault="00756B19">
      <w:pPr>
        <w:spacing w:after="20"/>
        <w:rPr>
          <w:rFonts w:ascii="Courier New" w:hAnsi="Courier New" w:cs="Courier New"/>
          <w:sz w:val="22"/>
        </w:rPr>
      </w:pPr>
    </w:p>
    <w:p w14:paraId="7F9C784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 — Consolidated)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3D535DE6" w14:textId="77777777">
        <w:trPr>
          <w:cantSplit/>
          <w:tblHeader/>
          <w:jc w:val="center"/>
        </w:trPr>
        <w:tc>
          <w:tcPr>
            <w:tcW w:w="2232" w:type="dxa"/>
            <w:shd w:val="clear" w:color="auto" w:fill="D9EAF7"/>
            <w:tcMar>
              <w:top w:w="55" w:type="dxa"/>
              <w:left w:w="55" w:type="dxa"/>
              <w:bottom w:w="55" w:type="dxa"/>
              <w:right w:w="55" w:type="dxa"/>
            </w:tcMar>
            <w:vAlign w:val="center"/>
          </w:tcPr>
          <w:p w14:paraId="30BE867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183890A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4D12AE03"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60AA844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08A173C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34E481C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5A53FE58" w14:textId="77777777">
        <w:trPr>
          <w:cantSplit/>
          <w:jc w:val="center"/>
        </w:trPr>
        <w:tc>
          <w:tcPr>
            <w:tcW w:w="2232" w:type="dxa"/>
            <w:tcMar>
              <w:top w:w="50" w:type="dxa"/>
              <w:left w:w="55" w:type="dxa"/>
              <w:bottom w:w="50" w:type="dxa"/>
              <w:right w:w="55" w:type="dxa"/>
            </w:tcMar>
          </w:tcPr>
          <w:p w14:paraId="424619A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Courbat v. Dahana Ranch, Inc.</w:t>
            </w:r>
          </w:p>
        </w:tc>
        <w:tc>
          <w:tcPr>
            <w:tcW w:w="1152" w:type="dxa"/>
            <w:tcMar>
              <w:top w:w="50" w:type="dxa"/>
              <w:left w:w="55" w:type="dxa"/>
              <w:bottom w:w="50" w:type="dxa"/>
              <w:right w:w="55" w:type="dxa"/>
            </w:tcMar>
          </w:tcPr>
          <w:p w14:paraId="1652A7A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 Sup. Ct.</w:t>
            </w:r>
          </w:p>
        </w:tc>
        <w:tc>
          <w:tcPr>
            <w:tcW w:w="748" w:type="dxa"/>
            <w:tcMar>
              <w:top w:w="50" w:type="dxa"/>
              <w:left w:w="55" w:type="dxa"/>
              <w:bottom w:w="50" w:type="dxa"/>
              <w:right w:w="55" w:type="dxa"/>
            </w:tcMar>
          </w:tcPr>
          <w:p w14:paraId="7BF6B4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426E858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111 Hawai‘i 254, 141 P.3d 427</w:t>
            </w:r>
          </w:p>
        </w:tc>
        <w:tc>
          <w:tcPr>
            <w:tcW w:w="4536" w:type="dxa"/>
            <w:tcMar>
              <w:top w:w="50" w:type="dxa"/>
              <w:left w:w="55" w:type="dxa"/>
              <w:bottom w:w="50" w:type="dxa"/>
              <w:right w:w="55" w:type="dxa"/>
            </w:tcMar>
          </w:tcPr>
          <w:p w14:paraId="2506149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deceptive practice is objectively likely to mislead reasonable consumers and is material; intent to deceive and actual deception of every consumer are not required.</w:t>
            </w:r>
          </w:p>
        </w:tc>
        <w:tc>
          <w:tcPr>
            <w:tcW w:w="3643" w:type="dxa"/>
            <w:tcMar>
              <w:top w:w="50" w:type="dxa"/>
              <w:left w:w="55" w:type="dxa"/>
              <w:bottom w:w="50" w:type="dxa"/>
              <w:right w:w="55" w:type="dxa"/>
            </w:tcMar>
          </w:tcPr>
          <w:p w14:paraId="7551B32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material representation or omission; preserve advertising, transaction records, injury, and causation evidence.</w:t>
            </w:r>
          </w:p>
        </w:tc>
      </w:tr>
      <w:tr w:rsidR="00756B19" w:rsidRPr="00566B6A" w14:paraId="33C4A8D7" w14:textId="77777777">
        <w:trPr>
          <w:cantSplit/>
          <w:jc w:val="center"/>
        </w:trPr>
        <w:tc>
          <w:tcPr>
            <w:tcW w:w="2232" w:type="dxa"/>
            <w:shd w:val="clear" w:color="auto" w:fill="F7FAFC"/>
            <w:tcMar>
              <w:top w:w="50" w:type="dxa"/>
              <w:left w:w="55" w:type="dxa"/>
              <w:bottom w:w="50" w:type="dxa"/>
              <w:right w:w="55" w:type="dxa"/>
            </w:tcMar>
          </w:tcPr>
          <w:p w14:paraId="635161F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Zanakis-Pico v. Cutter Dodge, Inc.</w:t>
            </w:r>
          </w:p>
        </w:tc>
        <w:tc>
          <w:tcPr>
            <w:tcW w:w="1152" w:type="dxa"/>
            <w:shd w:val="clear" w:color="auto" w:fill="F7FAFC"/>
            <w:tcMar>
              <w:top w:w="50" w:type="dxa"/>
              <w:left w:w="55" w:type="dxa"/>
              <w:bottom w:w="50" w:type="dxa"/>
              <w:right w:w="55" w:type="dxa"/>
            </w:tcMar>
          </w:tcPr>
          <w:p w14:paraId="44272A9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 Sup. Ct.</w:t>
            </w:r>
          </w:p>
        </w:tc>
        <w:tc>
          <w:tcPr>
            <w:tcW w:w="748" w:type="dxa"/>
            <w:shd w:val="clear" w:color="auto" w:fill="F7FAFC"/>
            <w:tcMar>
              <w:top w:w="50" w:type="dxa"/>
              <w:left w:w="55" w:type="dxa"/>
              <w:bottom w:w="50" w:type="dxa"/>
              <w:right w:w="55" w:type="dxa"/>
            </w:tcMar>
          </w:tcPr>
          <w:p w14:paraId="2D9922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shd w:val="clear" w:color="auto" w:fill="F7FAFC"/>
            <w:tcMar>
              <w:top w:w="50" w:type="dxa"/>
              <w:left w:w="55" w:type="dxa"/>
              <w:bottom w:w="50" w:type="dxa"/>
              <w:right w:w="55" w:type="dxa"/>
            </w:tcMar>
          </w:tcPr>
          <w:p w14:paraId="66DE53B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98 Hawai‘i 309, 47 P.3d 1222</w:t>
            </w:r>
          </w:p>
        </w:tc>
        <w:tc>
          <w:tcPr>
            <w:tcW w:w="4536" w:type="dxa"/>
            <w:shd w:val="clear" w:color="auto" w:fill="F7FAFC"/>
            <w:tcMar>
              <w:top w:w="50" w:type="dxa"/>
              <w:left w:w="55" w:type="dxa"/>
              <w:bottom w:w="50" w:type="dxa"/>
              <w:right w:w="55" w:type="dxa"/>
            </w:tcMar>
          </w:tcPr>
          <w:p w14:paraId="7A3E56F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benefit-of-the-bargain damages under chapter 480 when competent evidence shows the value represented and the value received.</w:t>
            </w:r>
          </w:p>
        </w:tc>
        <w:tc>
          <w:tcPr>
            <w:tcW w:w="3643" w:type="dxa"/>
            <w:shd w:val="clear" w:color="auto" w:fill="F7FAFC"/>
            <w:tcMar>
              <w:top w:w="50" w:type="dxa"/>
              <w:left w:w="55" w:type="dxa"/>
              <w:bottom w:w="50" w:type="dxa"/>
              <w:right w:w="55" w:type="dxa"/>
            </w:tcMar>
          </w:tcPr>
          <w:p w14:paraId="449C1B0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advertised value, actual value, repair/appraisal evidence, payments, and damages calculation.</w:t>
            </w:r>
          </w:p>
        </w:tc>
      </w:tr>
      <w:tr w:rsidR="00756B19" w:rsidRPr="00566B6A" w14:paraId="23AC600B" w14:textId="77777777">
        <w:trPr>
          <w:cantSplit/>
          <w:jc w:val="center"/>
        </w:trPr>
        <w:tc>
          <w:tcPr>
            <w:tcW w:w="2232" w:type="dxa"/>
            <w:tcMar>
              <w:top w:w="50" w:type="dxa"/>
              <w:left w:w="55" w:type="dxa"/>
              <w:bottom w:w="50" w:type="dxa"/>
              <w:right w:w="55" w:type="dxa"/>
            </w:tcMar>
          </w:tcPr>
          <w:p w14:paraId="1A8E11C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Flores v. Rawlings Co., LLC</w:t>
            </w:r>
          </w:p>
        </w:tc>
        <w:tc>
          <w:tcPr>
            <w:tcW w:w="1152" w:type="dxa"/>
            <w:tcMar>
              <w:top w:w="50" w:type="dxa"/>
              <w:left w:w="55" w:type="dxa"/>
              <w:bottom w:w="50" w:type="dxa"/>
              <w:right w:w="55" w:type="dxa"/>
            </w:tcMar>
          </w:tcPr>
          <w:p w14:paraId="574CD8A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 Sup. Ct.</w:t>
            </w:r>
          </w:p>
        </w:tc>
        <w:tc>
          <w:tcPr>
            <w:tcW w:w="748" w:type="dxa"/>
            <w:tcMar>
              <w:top w:w="50" w:type="dxa"/>
              <w:left w:w="55" w:type="dxa"/>
              <w:bottom w:w="50" w:type="dxa"/>
              <w:right w:w="55" w:type="dxa"/>
            </w:tcMar>
          </w:tcPr>
          <w:p w14:paraId="3A217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3230A73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117 Hawai‘i 153, 177 P.3d 341</w:t>
            </w:r>
          </w:p>
        </w:tc>
        <w:tc>
          <w:tcPr>
            <w:tcW w:w="4536" w:type="dxa"/>
            <w:tcMar>
              <w:top w:w="50" w:type="dxa"/>
              <w:left w:w="55" w:type="dxa"/>
              <w:bottom w:w="50" w:type="dxa"/>
              <w:right w:w="55" w:type="dxa"/>
            </w:tcMar>
          </w:tcPr>
          <w:p w14:paraId="0F8C280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443B may be enforced through chapter 480 only when consumer and injury requirements are met; paying a valid obligation to an unregistered collector did not alone establish injury.</w:t>
            </w:r>
          </w:p>
        </w:tc>
        <w:tc>
          <w:tcPr>
            <w:tcW w:w="3643" w:type="dxa"/>
            <w:tcMar>
              <w:top w:w="50" w:type="dxa"/>
              <w:left w:w="55" w:type="dxa"/>
              <w:bottom w:w="50" w:type="dxa"/>
              <w:right w:w="55" w:type="dxa"/>
            </w:tcMar>
          </w:tcPr>
          <w:p w14:paraId="0EE9353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registration, demands, payments, threats, deceptive statements, fees, disputes, and proof connecting prohibited conduct to injury.</w:t>
            </w:r>
          </w:p>
        </w:tc>
      </w:tr>
    </w:tbl>
    <w:p w14:paraId="26ED5BA4" w14:textId="77777777" w:rsidR="00756B19" w:rsidRPr="00566B6A" w:rsidRDefault="00756B19">
      <w:pPr>
        <w:spacing w:after="20"/>
        <w:rPr>
          <w:rFonts w:ascii="Courier New" w:hAnsi="Courier New" w:cs="Courier New"/>
          <w:sz w:val="22"/>
        </w:rPr>
      </w:pPr>
    </w:p>
    <w:p w14:paraId="7AE16DA7"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C — FCRA PREEMPTION + STATE-LAW SAFE ZONES (WITH CITATIONS)</w:t>
      </w:r>
    </w:p>
    <w:p w14:paraId="3538A005" w14:textId="77777777" w:rsidR="00756B19" w:rsidRPr="00566B6A" w:rsidRDefault="00F247EE">
      <w:pPr>
        <w:keepNext/>
        <w:spacing w:after="60"/>
        <w:rPr>
          <w:rFonts w:ascii="Courier New" w:hAnsi="Courier New" w:cs="Courier New"/>
          <w:sz w:val="22"/>
        </w:rPr>
      </w:pPr>
      <w:r w:rsidRPr="00566B6A">
        <w:rPr>
          <w:rFonts w:ascii="Courier New" w:hAnsi="Courier New" w:cs="Courier New"/>
          <w:b/>
          <w:sz w:val="22"/>
        </w:rPr>
        <w:t>Federal preemption provisions (educational):</w:t>
      </w:r>
    </w:p>
    <w:p w14:paraId="585FBF8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1681t(b) — </w:t>
      </w:r>
      <w:r w:rsidRPr="00566B6A">
        <w:rPr>
          <w:rFonts w:ascii="Courier New" w:hAnsi="Courier New" w:cs="Courier New"/>
          <w:sz w:val="22"/>
        </w:rPr>
        <w:t>preemption of certain state laws concerning subject matter regulated by the FCRA.</w:t>
      </w:r>
    </w:p>
    <w:p w14:paraId="6C42699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15 U.S.C. § 1681h(e) — </w:t>
      </w:r>
      <w:r w:rsidRPr="00566B6A">
        <w:rPr>
          <w:rFonts w:ascii="Courier New" w:hAnsi="Courier New" w:cs="Courier New"/>
          <w:sz w:val="22"/>
        </w:rPr>
        <w:t>limitations on certain state causes of action involving information disclosed under specified FCRA provisions.</w:t>
      </w:r>
    </w:p>
    <w:p w14:paraId="4ADA9D40" w14:textId="77777777" w:rsidR="00756B19" w:rsidRDefault="00F247EE">
      <w:pPr>
        <w:spacing w:after="60"/>
        <w:rPr>
          <w:rFonts w:ascii="Courier New" w:hAnsi="Courier New" w:cs="Courier New"/>
          <w:sz w:val="22"/>
        </w:rPr>
      </w:pPr>
      <w:r w:rsidRPr="00566B6A">
        <w:rPr>
          <w:rFonts w:ascii="Courier New" w:hAnsi="Courier New" w:cs="Courier New"/>
          <w:sz w:val="22"/>
        </w:rPr>
        <w:t>Educational summary: Federal law generally governs CRA and furnisher accuracy, reinvestigation, dispute processing, and reporting. Parallel Hawaii claims may be preemption-sensitive.</w:t>
      </w:r>
    </w:p>
    <w:p w14:paraId="3FCF8BC6" w14:textId="77777777" w:rsidR="00964317" w:rsidRPr="00566B6A" w:rsidRDefault="00964317">
      <w:pPr>
        <w:spacing w:after="60"/>
        <w:rPr>
          <w:rFonts w:ascii="Courier New" w:hAnsi="Courier New" w:cs="Courier New"/>
          <w:sz w:val="22"/>
        </w:rPr>
      </w:pPr>
    </w:p>
    <w:p w14:paraId="1831F78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Preemption Risk Map</w:t>
      </w:r>
    </w:p>
    <w:tbl>
      <w:tblPr>
        <w:tblStyle w:val="TableGrid"/>
        <w:tblW w:w="0" w:type="auto"/>
        <w:jc w:val="center"/>
        <w:tblLayout w:type="fixed"/>
        <w:tblLook w:val="04A0" w:firstRow="1" w:lastRow="0" w:firstColumn="1" w:lastColumn="0" w:noHBand="0" w:noVBand="1"/>
      </w:tblPr>
      <w:tblGrid>
        <w:gridCol w:w="2232"/>
        <w:gridCol w:w="3096"/>
        <w:gridCol w:w="1080"/>
        <w:gridCol w:w="1224"/>
        <w:gridCol w:w="6768"/>
      </w:tblGrid>
      <w:tr w:rsidR="00756B19" w:rsidRPr="00566B6A" w14:paraId="77DC1E08" w14:textId="77777777">
        <w:trPr>
          <w:cantSplit/>
          <w:tblHeader/>
          <w:jc w:val="center"/>
        </w:trPr>
        <w:tc>
          <w:tcPr>
            <w:tcW w:w="2232" w:type="dxa"/>
            <w:shd w:val="clear" w:color="auto" w:fill="D9EAF7"/>
            <w:tcMar>
              <w:top w:w="55" w:type="dxa"/>
              <w:left w:w="55" w:type="dxa"/>
              <w:bottom w:w="55" w:type="dxa"/>
              <w:right w:w="55" w:type="dxa"/>
            </w:tcMar>
            <w:vAlign w:val="center"/>
          </w:tcPr>
          <w:p w14:paraId="4FF1022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Claim / Topic</w:t>
            </w:r>
          </w:p>
        </w:tc>
        <w:tc>
          <w:tcPr>
            <w:tcW w:w="3096" w:type="dxa"/>
            <w:shd w:val="clear" w:color="auto" w:fill="D9EAF7"/>
            <w:tcMar>
              <w:top w:w="55" w:type="dxa"/>
              <w:left w:w="55" w:type="dxa"/>
              <w:bottom w:w="55" w:type="dxa"/>
              <w:right w:w="55" w:type="dxa"/>
            </w:tcMar>
            <w:vAlign w:val="center"/>
          </w:tcPr>
          <w:p w14:paraId="6BEB85E6"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Hawaii Authority</w:t>
            </w:r>
          </w:p>
        </w:tc>
        <w:tc>
          <w:tcPr>
            <w:tcW w:w="1080" w:type="dxa"/>
            <w:shd w:val="clear" w:color="auto" w:fill="D9EAF7"/>
            <w:tcMar>
              <w:top w:w="55" w:type="dxa"/>
              <w:left w:w="55" w:type="dxa"/>
              <w:bottom w:w="55" w:type="dxa"/>
              <w:right w:w="55" w:type="dxa"/>
            </w:tcMar>
            <w:vAlign w:val="center"/>
          </w:tcPr>
          <w:p w14:paraId="457CC78F"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Overlap</w:t>
            </w:r>
          </w:p>
        </w:tc>
        <w:tc>
          <w:tcPr>
            <w:tcW w:w="1224" w:type="dxa"/>
            <w:shd w:val="clear" w:color="auto" w:fill="D9EAF7"/>
            <w:tcMar>
              <w:top w:w="55" w:type="dxa"/>
              <w:left w:w="55" w:type="dxa"/>
              <w:bottom w:w="55" w:type="dxa"/>
              <w:right w:w="55" w:type="dxa"/>
            </w:tcMar>
            <w:vAlign w:val="center"/>
          </w:tcPr>
          <w:p w14:paraId="5F008E4A"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Preemption Risk</w:t>
            </w:r>
          </w:p>
        </w:tc>
        <w:tc>
          <w:tcPr>
            <w:tcW w:w="6768" w:type="dxa"/>
            <w:shd w:val="clear" w:color="auto" w:fill="D9EAF7"/>
            <w:tcMar>
              <w:top w:w="55" w:type="dxa"/>
              <w:left w:w="55" w:type="dxa"/>
              <w:bottom w:w="55" w:type="dxa"/>
              <w:right w:w="55" w:type="dxa"/>
            </w:tcMar>
            <w:vAlign w:val="center"/>
          </w:tcPr>
          <w:p w14:paraId="335FA8D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Procedural Framing</w:t>
            </w:r>
          </w:p>
        </w:tc>
      </w:tr>
      <w:tr w:rsidR="00756B19" w:rsidRPr="00566B6A" w14:paraId="71B5A997" w14:textId="77777777">
        <w:trPr>
          <w:cantSplit/>
          <w:jc w:val="center"/>
        </w:trPr>
        <w:tc>
          <w:tcPr>
            <w:tcW w:w="2232" w:type="dxa"/>
            <w:tcMar>
              <w:top w:w="50" w:type="dxa"/>
              <w:left w:w="55" w:type="dxa"/>
              <w:bottom w:w="50" w:type="dxa"/>
              <w:right w:w="55" w:type="dxa"/>
            </w:tcMar>
          </w:tcPr>
          <w:p w14:paraId="52791D6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accuracy / reinvestigation</w:t>
            </w:r>
          </w:p>
        </w:tc>
        <w:tc>
          <w:tcPr>
            <w:tcW w:w="3096" w:type="dxa"/>
            <w:tcMar>
              <w:top w:w="50" w:type="dxa"/>
              <w:left w:w="55" w:type="dxa"/>
              <w:bottom w:w="50" w:type="dxa"/>
              <w:right w:w="55" w:type="dxa"/>
            </w:tcMar>
          </w:tcPr>
          <w:p w14:paraId="0B68F17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489P addresses freezes; FCRA governs accuracy</w:t>
            </w:r>
          </w:p>
        </w:tc>
        <w:tc>
          <w:tcPr>
            <w:tcW w:w="1080" w:type="dxa"/>
            <w:tcMar>
              <w:top w:w="50" w:type="dxa"/>
              <w:left w:w="55" w:type="dxa"/>
              <w:bottom w:w="50" w:type="dxa"/>
              <w:right w:w="55" w:type="dxa"/>
            </w:tcMar>
          </w:tcPr>
          <w:p w14:paraId="540483A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tcMar>
              <w:top w:w="50" w:type="dxa"/>
              <w:left w:w="55" w:type="dxa"/>
              <w:bottom w:w="50" w:type="dxa"/>
              <w:right w:w="55" w:type="dxa"/>
            </w:tcMar>
          </w:tcPr>
          <w:p w14:paraId="4C3A74B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tcMar>
              <w:top w:w="50" w:type="dxa"/>
              <w:left w:w="55" w:type="dxa"/>
              <w:bottom w:w="50" w:type="dxa"/>
              <w:right w:w="55" w:type="dxa"/>
            </w:tcMar>
          </w:tcPr>
          <w:p w14:paraId="799C069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FCRA dispute/MOV records; avoid unsupported parallel Hawaii duties.</w:t>
            </w:r>
          </w:p>
        </w:tc>
      </w:tr>
      <w:tr w:rsidR="00756B19" w:rsidRPr="00566B6A" w14:paraId="701E1DB3" w14:textId="77777777">
        <w:trPr>
          <w:cantSplit/>
          <w:jc w:val="center"/>
        </w:trPr>
        <w:tc>
          <w:tcPr>
            <w:tcW w:w="2232" w:type="dxa"/>
            <w:shd w:val="clear" w:color="auto" w:fill="F7FAFC"/>
            <w:tcMar>
              <w:top w:w="50" w:type="dxa"/>
              <w:left w:w="55" w:type="dxa"/>
              <w:bottom w:w="50" w:type="dxa"/>
              <w:right w:w="55" w:type="dxa"/>
            </w:tcMar>
          </w:tcPr>
          <w:p w14:paraId="613804D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reporting duties</w:t>
            </w:r>
          </w:p>
        </w:tc>
        <w:tc>
          <w:tcPr>
            <w:tcW w:w="3096" w:type="dxa"/>
            <w:shd w:val="clear" w:color="auto" w:fill="F7FAFC"/>
            <w:tcMar>
              <w:top w:w="50" w:type="dxa"/>
              <w:left w:w="55" w:type="dxa"/>
              <w:bottom w:w="50" w:type="dxa"/>
              <w:right w:w="55" w:type="dxa"/>
            </w:tcMar>
          </w:tcPr>
          <w:p w14:paraId="3D1F414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Federal FCRA; distinct Hawaii conduct only</w:t>
            </w:r>
          </w:p>
        </w:tc>
        <w:tc>
          <w:tcPr>
            <w:tcW w:w="1080" w:type="dxa"/>
            <w:shd w:val="clear" w:color="auto" w:fill="F7FAFC"/>
            <w:tcMar>
              <w:top w:w="50" w:type="dxa"/>
              <w:left w:w="55" w:type="dxa"/>
              <w:bottom w:w="50" w:type="dxa"/>
              <w:right w:w="55" w:type="dxa"/>
            </w:tcMar>
          </w:tcPr>
          <w:p w14:paraId="7317A34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1224" w:type="dxa"/>
            <w:shd w:val="clear" w:color="auto" w:fill="F7FAFC"/>
            <w:tcMar>
              <w:top w:w="50" w:type="dxa"/>
              <w:left w:w="55" w:type="dxa"/>
              <w:bottom w:w="50" w:type="dxa"/>
              <w:right w:w="55" w:type="dxa"/>
            </w:tcMar>
          </w:tcPr>
          <w:p w14:paraId="6CDF788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High</w:t>
            </w:r>
          </w:p>
        </w:tc>
        <w:tc>
          <w:tcPr>
            <w:tcW w:w="6768" w:type="dxa"/>
            <w:shd w:val="clear" w:color="auto" w:fill="F7FAFC"/>
            <w:tcMar>
              <w:top w:w="50" w:type="dxa"/>
              <w:left w:w="55" w:type="dxa"/>
              <w:bottom w:w="50" w:type="dxa"/>
              <w:right w:w="55" w:type="dxa"/>
            </w:tcMar>
          </w:tcPr>
          <w:p w14:paraId="5420245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Use § 1681s-2 and preserve bureau-dispute notice records.</w:t>
            </w:r>
          </w:p>
        </w:tc>
      </w:tr>
      <w:tr w:rsidR="00756B19" w:rsidRPr="00566B6A" w14:paraId="04929188" w14:textId="77777777">
        <w:trPr>
          <w:cantSplit/>
          <w:jc w:val="center"/>
        </w:trPr>
        <w:tc>
          <w:tcPr>
            <w:tcW w:w="2232" w:type="dxa"/>
            <w:tcMar>
              <w:top w:w="50" w:type="dxa"/>
              <w:left w:w="55" w:type="dxa"/>
              <w:bottom w:w="50" w:type="dxa"/>
              <w:right w:w="55" w:type="dxa"/>
            </w:tcMar>
          </w:tcPr>
          <w:p w14:paraId="4E6659E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lastRenderedPageBreak/>
              <w:t>Identity-theft blocking</w:t>
            </w:r>
          </w:p>
        </w:tc>
        <w:tc>
          <w:tcPr>
            <w:tcW w:w="3096" w:type="dxa"/>
            <w:tcMar>
              <w:top w:w="50" w:type="dxa"/>
              <w:left w:w="55" w:type="dxa"/>
              <w:bottom w:w="50" w:type="dxa"/>
              <w:right w:w="55" w:type="dxa"/>
            </w:tcMar>
          </w:tcPr>
          <w:p w14:paraId="4793F91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 708-839.6–839.8; chapter 489P; FCRA</w:t>
            </w:r>
          </w:p>
        </w:tc>
        <w:tc>
          <w:tcPr>
            <w:tcW w:w="1080" w:type="dxa"/>
            <w:tcMar>
              <w:top w:w="50" w:type="dxa"/>
              <w:left w:w="55" w:type="dxa"/>
              <w:bottom w:w="50" w:type="dxa"/>
              <w:right w:w="55" w:type="dxa"/>
            </w:tcMar>
          </w:tcPr>
          <w:p w14:paraId="12C8B39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389E6A7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3067436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police/FTC reports, fraudulent items, freeze/block requests, CRA notices, and decisions.</w:t>
            </w:r>
          </w:p>
        </w:tc>
      </w:tr>
      <w:tr w:rsidR="00756B19" w:rsidRPr="00566B6A" w14:paraId="6B8C400A" w14:textId="77777777">
        <w:trPr>
          <w:cantSplit/>
          <w:jc w:val="center"/>
        </w:trPr>
        <w:tc>
          <w:tcPr>
            <w:tcW w:w="2232" w:type="dxa"/>
            <w:shd w:val="clear" w:color="auto" w:fill="F7FAFC"/>
            <w:tcMar>
              <w:top w:w="50" w:type="dxa"/>
              <w:left w:w="55" w:type="dxa"/>
              <w:bottom w:w="50" w:type="dxa"/>
              <w:right w:w="55" w:type="dxa"/>
            </w:tcMar>
          </w:tcPr>
          <w:p w14:paraId="05E5B53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Deceptive collection conduct</w:t>
            </w:r>
          </w:p>
        </w:tc>
        <w:tc>
          <w:tcPr>
            <w:tcW w:w="3096" w:type="dxa"/>
            <w:shd w:val="clear" w:color="auto" w:fill="F7FAFC"/>
            <w:tcMar>
              <w:top w:w="50" w:type="dxa"/>
              <w:left w:w="55" w:type="dxa"/>
              <w:bottom w:w="50" w:type="dxa"/>
              <w:right w:w="55" w:type="dxa"/>
            </w:tcMar>
          </w:tcPr>
          <w:p w14:paraId="586602A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H.R.S. §§ 443B-1–21; FDCPA</w:t>
            </w:r>
          </w:p>
        </w:tc>
        <w:tc>
          <w:tcPr>
            <w:tcW w:w="1080" w:type="dxa"/>
            <w:shd w:val="clear" w:color="auto" w:fill="F7FAFC"/>
            <w:tcMar>
              <w:top w:w="50" w:type="dxa"/>
              <w:left w:w="55" w:type="dxa"/>
              <w:bottom w:w="50" w:type="dxa"/>
              <w:right w:w="55" w:type="dxa"/>
            </w:tcMar>
          </w:tcPr>
          <w:p w14:paraId="5C7FB9C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2B07A2C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5EFB58D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Verify status/registration; preserve communications, disputes, fees, and injury evidence.</w:t>
            </w:r>
          </w:p>
        </w:tc>
      </w:tr>
      <w:tr w:rsidR="00756B19" w:rsidRPr="00566B6A" w14:paraId="1B20E09A" w14:textId="77777777">
        <w:trPr>
          <w:cantSplit/>
          <w:jc w:val="center"/>
        </w:trPr>
        <w:tc>
          <w:tcPr>
            <w:tcW w:w="2232" w:type="dxa"/>
            <w:tcMar>
              <w:top w:w="50" w:type="dxa"/>
              <w:left w:w="55" w:type="dxa"/>
              <w:bottom w:w="50" w:type="dxa"/>
              <w:right w:w="55" w:type="dxa"/>
            </w:tcMar>
          </w:tcPr>
          <w:p w14:paraId="7E81BD3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Security-freeze violations</w:t>
            </w:r>
          </w:p>
        </w:tc>
        <w:tc>
          <w:tcPr>
            <w:tcW w:w="3096" w:type="dxa"/>
            <w:tcMar>
              <w:top w:w="50" w:type="dxa"/>
              <w:left w:w="55" w:type="dxa"/>
              <w:bottom w:w="50" w:type="dxa"/>
              <w:right w:w="55" w:type="dxa"/>
            </w:tcMar>
          </w:tcPr>
          <w:p w14:paraId="5244AAF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H.R.S. §§ 489P-1–6</w:t>
            </w:r>
          </w:p>
        </w:tc>
        <w:tc>
          <w:tcPr>
            <w:tcW w:w="1080" w:type="dxa"/>
            <w:tcMar>
              <w:top w:w="50" w:type="dxa"/>
              <w:left w:w="55" w:type="dxa"/>
              <w:bottom w:w="50" w:type="dxa"/>
              <w:right w:w="55" w:type="dxa"/>
            </w:tcMar>
          </w:tcPr>
          <w:p w14:paraId="2F5EAFC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Medium</w:t>
            </w:r>
          </w:p>
        </w:tc>
        <w:tc>
          <w:tcPr>
            <w:tcW w:w="1224" w:type="dxa"/>
            <w:tcMar>
              <w:top w:w="50" w:type="dxa"/>
              <w:left w:w="55" w:type="dxa"/>
              <w:bottom w:w="50" w:type="dxa"/>
              <w:right w:w="55" w:type="dxa"/>
            </w:tcMar>
          </w:tcPr>
          <w:p w14:paraId="5E8B138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tcMar>
              <w:top w:w="50" w:type="dxa"/>
              <w:left w:w="55" w:type="dxa"/>
              <w:bottom w:w="50" w:type="dxa"/>
              <w:right w:w="55" w:type="dxa"/>
            </w:tcMar>
          </w:tcPr>
          <w:p w14:paraId="1879FE6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confirmation, release history, lift/removal requests, responses, and damages.</w:t>
            </w:r>
          </w:p>
        </w:tc>
      </w:tr>
      <w:tr w:rsidR="00756B19" w:rsidRPr="00566B6A" w14:paraId="541E678B" w14:textId="77777777">
        <w:trPr>
          <w:cantSplit/>
          <w:jc w:val="center"/>
        </w:trPr>
        <w:tc>
          <w:tcPr>
            <w:tcW w:w="2232" w:type="dxa"/>
            <w:shd w:val="clear" w:color="auto" w:fill="F7FAFC"/>
            <w:tcMar>
              <w:top w:w="50" w:type="dxa"/>
              <w:left w:w="55" w:type="dxa"/>
              <w:bottom w:w="50" w:type="dxa"/>
              <w:right w:w="55" w:type="dxa"/>
            </w:tcMar>
          </w:tcPr>
          <w:p w14:paraId="5755361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Data breach / privacy</w:t>
            </w:r>
          </w:p>
        </w:tc>
        <w:tc>
          <w:tcPr>
            <w:tcW w:w="3096" w:type="dxa"/>
            <w:shd w:val="clear" w:color="auto" w:fill="F7FAFC"/>
            <w:tcMar>
              <w:top w:w="50" w:type="dxa"/>
              <w:left w:w="55" w:type="dxa"/>
              <w:bottom w:w="50" w:type="dxa"/>
              <w:right w:w="55" w:type="dxa"/>
            </w:tcMar>
          </w:tcPr>
          <w:p w14:paraId="7B09928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H.R.S. §§ 487N-1–4</w:t>
            </w:r>
          </w:p>
        </w:tc>
        <w:tc>
          <w:tcPr>
            <w:tcW w:w="1080" w:type="dxa"/>
            <w:shd w:val="clear" w:color="auto" w:fill="F7FAFC"/>
            <w:tcMar>
              <w:top w:w="50" w:type="dxa"/>
              <w:left w:w="55" w:type="dxa"/>
              <w:bottom w:w="50" w:type="dxa"/>
              <w:right w:w="55" w:type="dxa"/>
            </w:tcMar>
          </w:tcPr>
          <w:p w14:paraId="39484F3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shd w:val="clear" w:color="auto" w:fill="F7FAFC"/>
            <w:tcMar>
              <w:top w:w="50" w:type="dxa"/>
              <w:left w:w="55" w:type="dxa"/>
              <w:bottom w:w="50" w:type="dxa"/>
              <w:right w:w="55" w:type="dxa"/>
            </w:tcMar>
          </w:tcPr>
          <w:p w14:paraId="2614C88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6768" w:type="dxa"/>
            <w:shd w:val="clear" w:color="auto" w:fill="F7FAFC"/>
            <w:tcMar>
              <w:top w:w="50" w:type="dxa"/>
              <w:left w:w="55" w:type="dxa"/>
              <w:bottom w:w="50" w:type="dxa"/>
              <w:right w:w="55" w:type="dxa"/>
            </w:tcMar>
          </w:tcPr>
          <w:p w14:paraId="065DB61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Keep findings, data, notices, dates, reports, and remediation.</w:t>
            </w:r>
          </w:p>
        </w:tc>
      </w:tr>
      <w:tr w:rsidR="00756B19" w:rsidRPr="00566B6A" w14:paraId="415AD1D0" w14:textId="77777777">
        <w:trPr>
          <w:cantSplit/>
          <w:jc w:val="center"/>
        </w:trPr>
        <w:tc>
          <w:tcPr>
            <w:tcW w:w="2232" w:type="dxa"/>
            <w:tcMar>
              <w:top w:w="50" w:type="dxa"/>
              <w:left w:w="55" w:type="dxa"/>
              <w:bottom w:w="50" w:type="dxa"/>
              <w:right w:w="55" w:type="dxa"/>
            </w:tcMar>
          </w:tcPr>
          <w:p w14:paraId="2D77104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UDAP deceptive practices</w:t>
            </w:r>
          </w:p>
        </w:tc>
        <w:tc>
          <w:tcPr>
            <w:tcW w:w="3096" w:type="dxa"/>
            <w:tcMar>
              <w:top w:w="50" w:type="dxa"/>
              <w:left w:w="55" w:type="dxa"/>
              <w:bottom w:w="50" w:type="dxa"/>
              <w:right w:w="55" w:type="dxa"/>
            </w:tcMar>
          </w:tcPr>
          <w:p w14:paraId="4BB7F99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H.R.S. §§ 480-1–24</w:t>
            </w:r>
          </w:p>
        </w:tc>
        <w:tc>
          <w:tcPr>
            <w:tcW w:w="1080" w:type="dxa"/>
            <w:tcMar>
              <w:top w:w="50" w:type="dxa"/>
              <w:left w:w="55" w:type="dxa"/>
              <w:bottom w:w="50" w:type="dxa"/>
              <w:right w:w="55" w:type="dxa"/>
            </w:tcMar>
          </w:tcPr>
          <w:p w14:paraId="6BEDE2A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w:t>
            </w:r>
          </w:p>
        </w:tc>
        <w:tc>
          <w:tcPr>
            <w:tcW w:w="1224" w:type="dxa"/>
            <w:tcMar>
              <w:top w:w="50" w:type="dxa"/>
              <w:left w:w="55" w:type="dxa"/>
              <w:bottom w:w="50" w:type="dxa"/>
              <w:right w:w="55" w:type="dxa"/>
            </w:tcMar>
          </w:tcPr>
          <w:p w14:paraId="201C01BF"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Low–Med</w:t>
            </w:r>
          </w:p>
        </w:tc>
        <w:tc>
          <w:tcPr>
            <w:tcW w:w="6768" w:type="dxa"/>
            <w:tcMar>
              <w:top w:w="50" w:type="dxa"/>
              <w:left w:w="55" w:type="dxa"/>
              <w:bottom w:w="50" w:type="dxa"/>
              <w:right w:w="55" w:type="dxa"/>
            </w:tcMar>
          </w:tcPr>
          <w:p w14:paraId="6D7BCC5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Frame material practice, consumer status, injury, causation, damages, and four-year timing.</w:t>
            </w:r>
          </w:p>
        </w:tc>
      </w:tr>
    </w:tbl>
    <w:p w14:paraId="542FF8FF" w14:textId="77777777" w:rsidR="00756B19" w:rsidRPr="00566B6A" w:rsidRDefault="00756B19">
      <w:pPr>
        <w:spacing w:after="20"/>
        <w:rPr>
          <w:rFonts w:ascii="Courier New" w:hAnsi="Courier New" w:cs="Courier New"/>
          <w:sz w:val="22"/>
        </w:rPr>
      </w:pPr>
    </w:p>
    <w:p w14:paraId="4F701FB5"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Safer zones (generally):</w:t>
      </w:r>
      <w:r w:rsidRPr="00566B6A">
        <w:rPr>
          <w:rFonts w:ascii="Courier New" w:hAnsi="Courier New" w:cs="Courier New"/>
          <w:sz w:val="22"/>
        </w:rPr>
        <w:t xml:space="preserve"> identity theft, prohibited collection methods, agency registration, freezes, breach notice, and UDAP conduct distinct from CRA or furnisher reporting.</w:t>
      </w:r>
    </w:p>
    <w:p w14:paraId="1B7D5120"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Risky zones (generally): Hawaii claims imposing duties parallel to the FCRA without preserved state authority or distinct conduct.</w:t>
      </w:r>
    </w:p>
    <w:p w14:paraId="319E0175" w14:textId="77777777" w:rsidR="00756B19" w:rsidRPr="00566B6A" w:rsidRDefault="00F247EE">
      <w:pPr>
        <w:spacing w:after="60"/>
        <w:rPr>
          <w:rFonts w:ascii="Courier New" w:hAnsi="Courier New" w:cs="Courier New"/>
          <w:sz w:val="22"/>
        </w:rPr>
      </w:pPr>
      <w:r w:rsidRPr="00566B6A">
        <w:rPr>
          <w:rFonts w:ascii="Courier New" w:hAnsi="Courier New" w:cs="Courier New"/>
          <w:i/>
          <w:sz w:val="22"/>
        </w:rPr>
        <w:t>No legal conclusions or outcome predictions are provided.</w:t>
      </w:r>
    </w:p>
    <w:p w14:paraId="15AAAE43"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D — STATE-FIRST FACT-FINDING STRATEGY (IMPLEMENTATION PLAYBOOK)</w:t>
      </w:r>
    </w:p>
    <w:p w14:paraId="4FEC0220"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1 — </w:t>
      </w:r>
      <w:r w:rsidRPr="00566B6A">
        <w:rPr>
          <w:rFonts w:ascii="Courier New" w:hAnsi="Courier New" w:cs="Courier New"/>
          <w:sz w:val="22"/>
        </w:rPr>
        <w:t>Review credit reports for inaccuracies line-by-line against the bureau PDFs.</w:t>
      </w:r>
    </w:p>
    <w:p w14:paraId="2C1A71E6"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2 — </w:t>
      </w:r>
      <w:r w:rsidRPr="00566B6A">
        <w:rPr>
          <w:rFonts w:ascii="Courier New" w:hAnsi="Courier New" w:cs="Courier New"/>
          <w:sz w:val="22"/>
        </w:rPr>
        <w:t>Submit written CRA and furnisher disputes with proof of service, using certified mail or verifiable electronic proof.</w:t>
      </w:r>
    </w:p>
    <w:p w14:paraId="0D904A17"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3 — </w:t>
      </w:r>
      <w:r w:rsidRPr="00566B6A">
        <w:rPr>
          <w:rFonts w:ascii="Courier New" w:hAnsi="Courier New" w:cs="Courier New"/>
          <w:sz w:val="22"/>
        </w:rPr>
        <w:t>Request and preserve the contract, ledger, date-of-first-delinquency support, ownership chain, inquiry logs, and account-level data.</w:t>
      </w:r>
    </w:p>
    <w:p w14:paraId="73771D68"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4 — </w:t>
      </w:r>
      <w:r w:rsidRPr="00566B6A">
        <w:rPr>
          <w:rFonts w:ascii="Courier New" w:hAnsi="Courier New" w:cs="Courier New"/>
          <w:sz w:val="22"/>
        </w:rPr>
        <w:t>Submit a method-of-verification or verification-description request under 15 U.S.C. § 1681i(a)(6), where applicable.</w:t>
      </w:r>
    </w:p>
    <w:p w14:paraId="3BB022CE"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5 — </w:t>
      </w:r>
      <w:r w:rsidRPr="00566B6A">
        <w:rPr>
          <w:rFonts w:ascii="Courier New" w:hAnsi="Courier New" w:cs="Courier New"/>
          <w:sz w:val="22"/>
        </w:rPr>
        <w:t>File with Hawaii OCP, PVL, or the Division of Financial Institutions as jurisdiction requires; retain confirmation numbers.</w:t>
      </w:r>
    </w:p>
    <w:p w14:paraId="6F3414C5"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t xml:space="preserve">Step 6 — </w:t>
      </w:r>
      <w:r w:rsidRPr="00566B6A">
        <w:rPr>
          <w:rFonts w:ascii="Courier New" w:hAnsi="Courier New" w:cs="Courier New"/>
          <w:sz w:val="22"/>
        </w:rPr>
        <w:t>Preserve agency responses and index all events chronologically.</w:t>
      </w:r>
    </w:p>
    <w:p w14:paraId="3C0DC4E6" w14:textId="77777777" w:rsidR="00756B19" w:rsidRPr="00566B6A" w:rsidRDefault="00F247EE">
      <w:pPr>
        <w:ind w:left="72"/>
        <w:rPr>
          <w:rFonts w:ascii="Courier New" w:hAnsi="Courier New" w:cs="Courier New"/>
          <w:sz w:val="22"/>
        </w:rPr>
      </w:pPr>
      <w:r w:rsidRPr="00566B6A">
        <w:rPr>
          <w:rFonts w:ascii="Courier New" w:hAnsi="Courier New" w:cs="Courier New"/>
          <w:b/>
          <w:sz w:val="22"/>
        </w:rPr>
        <w:lastRenderedPageBreak/>
        <w:t xml:space="preserve">Step 7 — </w:t>
      </w:r>
      <w:r w:rsidRPr="00566B6A">
        <w:rPr>
          <w:rFonts w:ascii="Courier New" w:hAnsi="Courier New" w:cs="Courier New"/>
          <w:sz w:val="22"/>
        </w:rPr>
        <w:t>Escalate unresolved federal issues to the CFPB or FTC after state intake, where appropriate.</w:t>
      </w:r>
    </w:p>
    <w:p w14:paraId="774784CB" w14:textId="77777777" w:rsidR="00756B19" w:rsidRDefault="00F247EE">
      <w:pPr>
        <w:ind w:left="72"/>
        <w:rPr>
          <w:rFonts w:ascii="Courier New" w:hAnsi="Courier New" w:cs="Courier New"/>
          <w:sz w:val="22"/>
        </w:rPr>
      </w:pPr>
      <w:r w:rsidRPr="00566B6A">
        <w:rPr>
          <w:rFonts w:ascii="Courier New" w:hAnsi="Courier New" w:cs="Courier New"/>
          <w:b/>
          <w:sz w:val="22"/>
        </w:rPr>
        <w:t xml:space="preserve">Step 8 — </w:t>
      </w:r>
      <w:r w:rsidRPr="00566B6A">
        <w:rPr>
          <w:rFonts w:ascii="Courier New" w:hAnsi="Courier New" w:cs="Courier New"/>
          <w:sz w:val="22"/>
        </w:rPr>
        <w:t>Maintain an evidence index with exhibit labels (A-1, A-2, …).</w:t>
      </w:r>
    </w:p>
    <w:p w14:paraId="0DBE4667" w14:textId="77777777" w:rsidR="00964317" w:rsidRPr="00566B6A" w:rsidRDefault="00964317">
      <w:pPr>
        <w:ind w:left="72"/>
        <w:rPr>
          <w:rFonts w:ascii="Courier New" w:hAnsi="Courier New" w:cs="Courier New"/>
          <w:sz w:val="22"/>
        </w:rPr>
      </w:pPr>
    </w:p>
    <w:p w14:paraId="579F8B33" w14:textId="77777777" w:rsidR="00756B19" w:rsidRDefault="00F247EE">
      <w:pPr>
        <w:pStyle w:val="Heading2"/>
        <w:spacing w:before="100" w:after="40"/>
        <w:rPr>
          <w:rFonts w:ascii="Courier New" w:eastAsia="Arial" w:hAnsi="Courier New" w:cs="Courier New"/>
          <w:color w:val="auto"/>
          <w:sz w:val="22"/>
          <w:szCs w:val="22"/>
        </w:rPr>
      </w:pPr>
      <w:r w:rsidRPr="00566B6A">
        <w:rPr>
          <w:rFonts w:ascii="Courier New" w:eastAsia="Arial" w:hAnsi="Courier New" w:cs="Courier New"/>
          <w:color w:val="auto"/>
          <w:sz w:val="22"/>
          <w:szCs w:val="22"/>
        </w:rPr>
        <w:t>STATE Record → FCRA Element Mapping (Educational)</w:t>
      </w:r>
    </w:p>
    <w:p w14:paraId="1EABFCB2" w14:textId="77777777" w:rsidR="00964317" w:rsidRPr="00964317" w:rsidRDefault="00964317" w:rsidP="00964317"/>
    <w:tbl>
      <w:tblPr>
        <w:tblStyle w:val="TableGrid"/>
        <w:tblW w:w="0" w:type="auto"/>
        <w:jc w:val="center"/>
        <w:tblLayout w:type="fixed"/>
        <w:tblLook w:val="04A0" w:firstRow="1" w:lastRow="0" w:firstColumn="1" w:lastColumn="0" w:noHBand="0" w:noVBand="1"/>
      </w:tblPr>
      <w:tblGrid>
        <w:gridCol w:w="6048"/>
        <w:gridCol w:w="8352"/>
      </w:tblGrid>
      <w:tr w:rsidR="00756B19" w:rsidRPr="00566B6A" w14:paraId="6C45CC9C" w14:textId="77777777">
        <w:trPr>
          <w:cantSplit/>
          <w:tblHeader/>
          <w:jc w:val="center"/>
        </w:trPr>
        <w:tc>
          <w:tcPr>
            <w:tcW w:w="6048" w:type="dxa"/>
            <w:shd w:val="clear" w:color="auto" w:fill="D9EAF7"/>
            <w:tcMar>
              <w:top w:w="55" w:type="dxa"/>
              <w:left w:w="55" w:type="dxa"/>
              <w:bottom w:w="55" w:type="dxa"/>
              <w:right w:w="55" w:type="dxa"/>
            </w:tcMar>
            <w:vAlign w:val="center"/>
          </w:tcPr>
          <w:p w14:paraId="4709F1FC"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Administrative Record Item</w:t>
            </w:r>
          </w:p>
        </w:tc>
        <w:tc>
          <w:tcPr>
            <w:tcW w:w="8352" w:type="dxa"/>
            <w:shd w:val="clear" w:color="auto" w:fill="D9EAF7"/>
            <w:tcMar>
              <w:top w:w="55" w:type="dxa"/>
              <w:left w:w="55" w:type="dxa"/>
              <w:bottom w:w="55" w:type="dxa"/>
              <w:right w:w="55" w:type="dxa"/>
            </w:tcMar>
            <w:vAlign w:val="center"/>
          </w:tcPr>
          <w:p w14:paraId="639528A9"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FCRA / State-Law Element Supported</w:t>
            </w:r>
          </w:p>
        </w:tc>
      </w:tr>
      <w:tr w:rsidR="00756B19" w:rsidRPr="00566B6A" w14:paraId="1E9C24C7" w14:textId="77777777">
        <w:trPr>
          <w:cantSplit/>
          <w:jc w:val="center"/>
        </w:trPr>
        <w:tc>
          <w:tcPr>
            <w:tcW w:w="6048" w:type="dxa"/>
            <w:tcMar>
              <w:top w:w="50" w:type="dxa"/>
              <w:left w:w="55" w:type="dxa"/>
              <w:bottom w:w="50" w:type="dxa"/>
              <w:right w:w="55" w:type="dxa"/>
            </w:tcMar>
          </w:tcPr>
          <w:p w14:paraId="4CC7681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Dated dispute + proof of service</w:t>
            </w:r>
          </w:p>
        </w:tc>
        <w:tc>
          <w:tcPr>
            <w:tcW w:w="8352" w:type="dxa"/>
            <w:tcMar>
              <w:top w:w="50" w:type="dxa"/>
              <w:left w:w="55" w:type="dxa"/>
              <w:bottom w:w="50" w:type="dxa"/>
              <w:right w:w="55" w:type="dxa"/>
            </w:tcMar>
          </w:tcPr>
          <w:p w14:paraId="18F233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Notice and dispute initiation</w:t>
            </w:r>
          </w:p>
        </w:tc>
      </w:tr>
      <w:tr w:rsidR="00756B19" w:rsidRPr="00566B6A" w14:paraId="689A5A08" w14:textId="77777777">
        <w:trPr>
          <w:cantSplit/>
          <w:jc w:val="center"/>
        </w:trPr>
        <w:tc>
          <w:tcPr>
            <w:tcW w:w="6048" w:type="dxa"/>
            <w:shd w:val="clear" w:color="auto" w:fill="F7FAFC"/>
            <w:tcMar>
              <w:top w:w="50" w:type="dxa"/>
              <w:left w:w="55" w:type="dxa"/>
              <w:bottom w:w="50" w:type="dxa"/>
              <w:right w:w="55" w:type="dxa"/>
            </w:tcMar>
          </w:tcPr>
          <w:p w14:paraId="673BB797"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CRA response + method-of-verification disclosure</w:t>
            </w:r>
          </w:p>
        </w:tc>
        <w:tc>
          <w:tcPr>
            <w:tcW w:w="8352" w:type="dxa"/>
            <w:shd w:val="clear" w:color="auto" w:fill="F7FAFC"/>
            <w:tcMar>
              <w:top w:w="50" w:type="dxa"/>
              <w:left w:w="55" w:type="dxa"/>
              <w:bottom w:w="50" w:type="dxa"/>
              <w:right w:w="55" w:type="dxa"/>
            </w:tcMar>
          </w:tcPr>
          <w:p w14:paraId="78FEF8C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Reasonableness and procedure transparency</w:t>
            </w:r>
          </w:p>
        </w:tc>
      </w:tr>
      <w:tr w:rsidR="00756B19" w:rsidRPr="00566B6A" w14:paraId="3A9E6B0A" w14:textId="77777777">
        <w:trPr>
          <w:cantSplit/>
          <w:jc w:val="center"/>
        </w:trPr>
        <w:tc>
          <w:tcPr>
            <w:tcW w:w="6048" w:type="dxa"/>
            <w:tcMar>
              <w:top w:w="50" w:type="dxa"/>
              <w:left w:w="55" w:type="dxa"/>
              <w:bottom w:w="50" w:type="dxa"/>
              <w:right w:w="55" w:type="dxa"/>
            </w:tcMar>
          </w:tcPr>
          <w:p w14:paraId="047CD53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Furnisher silence or generic verification</w:t>
            </w:r>
          </w:p>
        </w:tc>
        <w:tc>
          <w:tcPr>
            <w:tcW w:w="8352" w:type="dxa"/>
            <w:tcMar>
              <w:top w:w="50" w:type="dxa"/>
              <w:left w:w="55" w:type="dxa"/>
              <w:bottom w:w="50" w:type="dxa"/>
              <w:right w:w="55" w:type="dxa"/>
            </w:tcMar>
          </w:tcPr>
          <w:p w14:paraId="440CD04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Potential deficiency requiring further documentation; no liability conclusion</w:t>
            </w:r>
          </w:p>
        </w:tc>
      </w:tr>
      <w:tr w:rsidR="00756B19" w:rsidRPr="00566B6A" w14:paraId="1D9537C3" w14:textId="77777777">
        <w:trPr>
          <w:cantSplit/>
          <w:jc w:val="center"/>
        </w:trPr>
        <w:tc>
          <w:tcPr>
            <w:tcW w:w="6048" w:type="dxa"/>
            <w:shd w:val="clear" w:color="auto" w:fill="F7FAFC"/>
            <w:tcMar>
              <w:top w:w="50" w:type="dxa"/>
              <w:left w:w="55" w:type="dxa"/>
              <w:bottom w:w="50" w:type="dxa"/>
              <w:right w:w="55" w:type="dxa"/>
            </w:tcMar>
          </w:tcPr>
          <w:p w14:paraId="6A7D2A29"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Hawaii OCP / PVL / DFI complaint + agency ID</w:t>
            </w:r>
          </w:p>
        </w:tc>
        <w:tc>
          <w:tcPr>
            <w:tcW w:w="8352" w:type="dxa"/>
            <w:shd w:val="clear" w:color="auto" w:fill="F7FAFC"/>
            <w:tcMar>
              <w:top w:w="50" w:type="dxa"/>
              <w:left w:w="55" w:type="dxa"/>
              <w:bottom w:w="50" w:type="dxa"/>
              <w:right w:w="55" w:type="dxa"/>
            </w:tcMar>
          </w:tcPr>
          <w:p w14:paraId="5EC7445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Chronology, notice, and administrative record-building</w:t>
            </w:r>
          </w:p>
        </w:tc>
      </w:tr>
      <w:tr w:rsidR="00756B19" w:rsidRPr="00566B6A" w14:paraId="7FB42DE4" w14:textId="77777777">
        <w:trPr>
          <w:cantSplit/>
          <w:jc w:val="center"/>
        </w:trPr>
        <w:tc>
          <w:tcPr>
            <w:tcW w:w="6048" w:type="dxa"/>
            <w:tcMar>
              <w:top w:w="50" w:type="dxa"/>
              <w:left w:w="55" w:type="dxa"/>
              <w:bottom w:w="50" w:type="dxa"/>
              <w:right w:w="55" w:type="dxa"/>
            </w:tcMar>
          </w:tcPr>
          <w:p w14:paraId="0089073D"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Identity-theft affidavit + police/FTC report</w:t>
            </w:r>
          </w:p>
        </w:tc>
        <w:tc>
          <w:tcPr>
            <w:tcW w:w="8352" w:type="dxa"/>
            <w:tcMar>
              <w:top w:w="50" w:type="dxa"/>
              <w:left w:w="55" w:type="dxa"/>
              <w:bottom w:w="50" w:type="dxa"/>
              <w:right w:w="55" w:type="dxa"/>
            </w:tcMar>
          </w:tcPr>
          <w:p w14:paraId="23E7690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Blocking, fraud-alert, and identity-restoration procedures</w:t>
            </w:r>
          </w:p>
        </w:tc>
      </w:tr>
      <w:tr w:rsidR="00756B19" w:rsidRPr="00566B6A" w14:paraId="496CDB4A" w14:textId="77777777">
        <w:trPr>
          <w:cantSplit/>
          <w:jc w:val="center"/>
        </w:trPr>
        <w:tc>
          <w:tcPr>
            <w:tcW w:w="6048" w:type="dxa"/>
            <w:shd w:val="clear" w:color="auto" w:fill="F7FAFC"/>
            <w:tcMar>
              <w:top w:w="50" w:type="dxa"/>
              <w:left w:w="55" w:type="dxa"/>
              <w:bottom w:w="50" w:type="dxa"/>
              <w:right w:w="55" w:type="dxa"/>
            </w:tcMar>
          </w:tcPr>
          <w:p w14:paraId="3E518A10"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Ledger / date-of-first-delinquency documentation gaps</w:t>
            </w:r>
          </w:p>
        </w:tc>
        <w:tc>
          <w:tcPr>
            <w:tcW w:w="8352" w:type="dxa"/>
            <w:shd w:val="clear" w:color="auto" w:fill="F7FAFC"/>
            <w:tcMar>
              <w:top w:w="50" w:type="dxa"/>
              <w:left w:w="55" w:type="dxa"/>
              <w:bottom w:w="50" w:type="dxa"/>
              <w:right w:w="55" w:type="dxa"/>
            </w:tcMar>
          </w:tcPr>
          <w:p w14:paraId="592A5E34"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Accuracy and completeness questions</w:t>
            </w:r>
          </w:p>
        </w:tc>
      </w:tr>
      <w:tr w:rsidR="00756B19" w:rsidRPr="00566B6A" w14:paraId="78B18636" w14:textId="77777777">
        <w:trPr>
          <w:cantSplit/>
          <w:jc w:val="center"/>
        </w:trPr>
        <w:tc>
          <w:tcPr>
            <w:tcW w:w="6048" w:type="dxa"/>
            <w:tcMar>
              <w:top w:w="50" w:type="dxa"/>
              <w:left w:w="55" w:type="dxa"/>
              <w:bottom w:w="50" w:type="dxa"/>
              <w:right w:w="55" w:type="dxa"/>
            </w:tcMar>
          </w:tcPr>
          <w:p w14:paraId="70257D0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Hawaii UDAP consumer-status, materiality, injury, causation, and damages evidence</w:t>
            </w:r>
          </w:p>
        </w:tc>
        <w:tc>
          <w:tcPr>
            <w:tcW w:w="8352" w:type="dxa"/>
            <w:tcMar>
              <w:top w:w="50" w:type="dxa"/>
              <w:left w:w="55" w:type="dxa"/>
              <w:bottom w:w="50" w:type="dxa"/>
              <w:right w:w="55" w:type="dxa"/>
            </w:tcMar>
          </w:tcPr>
          <w:p w14:paraId="693A3288"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Unfair or deceptive practice, trade or commerce, consumer status, injury, causation, damages, and four-year timing</w:t>
            </w:r>
          </w:p>
        </w:tc>
      </w:tr>
    </w:tbl>
    <w:p w14:paraId="4D76BAA8" w14:textId="77777777" w:rsidR="00756B19" w:rsidRPr="00566B6A" w:rsidRDefault="00756B19">
      <w:pPr>
        <w:spacing w:after="20"/>
        <w:rPr>
          <w:rFonts w:ascii="Courier New" w:hAnsi="Courier New" w:cs="Courier New"/>
          <w:sz w:val="22"/>
        </w:rPr>
      </w:pPr>
    </w:p>
    <w:p w14:paraId="5EE38E61"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E — PROCEDURAL ENFORCEMENT TOOLS (NON-ACCUSATORY)</w:t>
      </w:r>
    </w:p>
    <w:p w14:paraId="5ADA06C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Method-of-verification / verification-description request</w:t>
      </w:r>
    </w:p>
    <w:p w14:paraId="79434E4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Permissible-purpose request concerning inquiries and file access</w:t>
      </w:r>
    </w:p>
    <w:p w14:paraId="261E939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Ledger, balance-validation, and date-of-first-delinquency support request</w:t>
      </w:r>
    </w:p>
    <w:p w14:paraId="7E100E1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Liability-classification review: personal obligor, authorized user, guarantor, or business signer</w:t>
      </w:r>
    </w:p>
    <w:p w14:paraId="48F9A8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Identity-integrity review: addresses, aliases, mixed-file indicators, and identity-theft markers</w:t>
      </w:r>
    </w:p>
    <w:p w14:paraId="2CC4108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Hawaii UDAP consumer status, deception, injury, causation, damages, and four-year limitations review</w:t>
      </w:r>
    </w:p>
    <w:p w14:paraId="78BBB734"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Collection-agency registration, prohibited-method, injury, and jurisdiction review</w:t>
      </w:r>
    </w:p>
    <w:p w14:paraId="547038C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lastRenderedPageBreak/>
        <w:t>Findings-rejection protocol when an item is marked “verified” without a disclosed methodology</w:t>
      </w:r>
    </w:p>
    <w:p w14:paraId="703E2F7C"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Emphasize objective evidence.</w:t>
      </w:r>
      <w:r w:rsidRPr="00566B6A">
        <w:rPr>
          <w:rFonts w:ascii="Courier New" w:hAnsi="Courier New" w:cs="Courier New"/>
          <w:sz w:val="22"/>
        </w:rPr>
        <w:t xml:space="preserve"> Avoid accusatory language, unsupported liability conclusions, and assumptions of wrongdoing.</w:t>
      </w:r>
    </w:p>
    <w:p w14:paraId="1CB08D0D"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F — STATE-SPECIFIC MODULE (AUTO-INJECT, REQUIRED)</w:t>
      </w:r>
    </w:p>
    <w:p w14:paraId="3C1FFFDE"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w:t>
      </w:r>
      <w:r w:rsidRPr="00566B6A">
        <w:rPr>
          <w:rFonts w:ascii="Courier New" w:hAnsi="Courier New" w:cs="Courier New"/>
          <w:sz w:val="22"/>
        </w:rPr>
        <w:t xml:space="preserve"> Hawaii (HI)</w:t>
      </w:r>
    </w:p>
    <w:p w14:paraId="32A7C0D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Statutes / Acts</w:t>
      </w:r>
    </w:p>
    <w:p w14:paraId="689CCB3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Hawaii Unfair or Deceptive Acts or Practices Law | </w:t>
      </w:r>
      <w:r w:rsidRPr="00566B6A">
        <w:rPr>
          <w:rFonts w:ascii="Courier New" w:hAnsi="Courier New" w:cs="Courier New"/>
          <w:sz w:val="22"/>
        </w:rPr>
        <w:t>H.R.S. §§ 480-1–24 | Remedies: injunction; greater of $1,000 or treble damages; fees/costs; public penalties and restitution. | Authority: OCP / Attorney General / courts.</w:t>
      </w:r>
    </w:p>
    <w:p w14:paraId="622E080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Hawaii Collection Agencies Law | </w:t>
      </w:r>
      <w:r w:rsidRPr="00566B6A">
        <w:rPr>
          <w:rFonts w:ascii="Courier New" w:hAnsi="Courier New" w:cs="Courier New"/>
          <w:sz w:val="22"/>
        </w:rPr>
        <w:t>H.R.S. §§ 443B-1–21 | Remedies: registration, bonding, discipline, penalties, and chapter 480 relief when consumer and injury requirements are met. | Authority: DCCA / courts.</w:t>
      </w:r>
    </w:p>
    <w:p w14:paraId="1AF5D938"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Hawaii Consumer Credit Reporting Agencies Law | </w:t>
      </w:r>
      <w:r w:rsidRPr="00566B6A">
        <w:rPr>
          <w:rFonts w:ascii="Courier New" w:hAnsi="Courier New" w:cs="Courier New"/>
          <w:sz w:val="22"/>
        </w:rPr>
        <w:t>H.R.S. §§ 489P-1–6 | Remedies: freezes; up to $2,500 per violation; actual damages; possible prevailing-party fees. | Authority: OCP / Attorney General / courts.</w:t>
      </w:r>
    </w:p>
    <w:p w14:paraId="649AFE6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Hawaii Security Breach Law | </w:t>
      </w:r>
      <w:r w:rsidRPr="00566B6A">
        <w:rPr>
          <w:rFonts w:ascii="Courier New" w:hAnsi="Courier New" w:cs="Courier New"/>
          <w:sz w:val="22"/>
        </w:rPr>
        <w:t>H.R.S. §§ 487N-1–4 | Remedies: notice/reporting; up to $2,500 per violation; actual damages; possible prevailing-party fees. | Authority: OCP / Attorney General / courts.</w:t>
      </w:r>
    </w:p>
    <w:p w14:paraId="291F879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Hawaii Identity-Theft Provisions | </w:t>
      </w:r>
      <w:r w:rsidRPr="00566B6A">
        <w:rPr>
          <w:rFonts w:ascii="Courier New" w:hAnsi="Courier New" w:cs="Courier New"/>
          <w:sz w:val="22"/>
        </w:rPr>
        <w:t>H.R.S. §§ 708-839.6–839.8 | Remedies: criminal penalties by degree and identity-restoration documentation. | Authority: law enforcement / courts.</w:t>
      </w:r>
    </w:p>
    <w:p w14:paraId="39A0BC10"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Regulations</w:t>
      </w:r>
    </w:p>
    <w:p w14:paraId="665B8B5A"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Hawaii Collection Agency Rules — </w:t>
      </w:r>
      <w:r w:rsidRPr="00566B6A">
        <w:rPr>
          <w:rFonts w:ascii="Courier New" w:hAnsi="Courier New" w:cs="Courier New"/>
          <w:sz w:val="22"/>
        </w:rPr>
        <w:t>consult current Hawaii Administrative Rules and DCCA guidance for registration, bonding, records, complaints, and discipline. Verify the exact rule before use.</w:t>
      </w:r>
    </w:p>
    <w:p w14:paraId="60FDD7DB"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Policies / Guidance</w:t>
      </w:r>
    </w:p>
    <w:p w14:paraId="054ED670"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Hawaii Office of Consumer Protection: </w:t>
      </w:r>
      <w:r w:rsidRPr="00566B6A">
        <w:rPr>
          <w:rFonts w:ascii="Courier New" w:hAnsi="Courier New" w:cs="Courier New"/>
          <w:sz w:val="22"/>
        </w:rPr>
        <w:t>complaint intake, investigation, education, restitution, injunction, and UDAP enforcement.</w:t>
      </w:r>
    </w:p>
    <w:p w14:paraId="3C852D0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Hawaii Professional and Vocational Licensing Division: </w:t>
      </w:r>
      <w:r w:rsidRPr="00566B6A">
        <w:rPr>
          <w:rFonts w:ascii="Courier New" w:hAnsi="Courier New" w:cs="Courier New"/>
          <w:sz w:val="22"/>
        </w:rPr>
        <w:t>collection-agency registration, license lookup, complaints, investigation, and discipline.</w:t>
      </w:r>
    </w:p>
    <w:p w14:paraId="5C1E258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b/>
          <w:sz w:val="22"/>
        </w:rPr>
        <w:t xml:space="preserve">Hawaii Division of Financial Institutions: </w:t>
      </w:r>
      <w:r w:rsidRPr="00566B6A">
        <w:rPr>
          <w:rFonts w:ascii="Courier New" w:hAnsi="Courier New" w:cs="Courier New"/>
          <w:sz w:val="22"/>
        </w:rPr>
        <w:t>complaints involving regulated financial institutions and service providers.</w:t>
      </w:r>
    </w:p>
    <w:p w14:paraId="0B93D6FD"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Ordinances</w:t>
      </w:r>
    </w:p>
    <w:p w14:paraId="41AB5AF0" w14:textId="77777777" w:rsidR="00756B19" w:rsidRDefault="00F247EE">
      <w:pPr>
        <w:spacing w:after="60"/>
        <w:rPr>
          <w:rFonts w:ascii="Courier New" w:hAnsi="Courier New" w:cs="Courier New"/>
          <w:sz w:val="22"/>
        </w:rPr>
      </w:pPr>
      <w:r w:rsidRPr="00566B6A">
        <w:rPr>
          <w:rFonts w:ascii="Courier New" w:hAnsi="Courier New" w:cs="Courier New"/>
          <w:sz w:val="22"/>
        </w:rPr>
        <w:t>Local ordinances are not typically controlling for credit-report disputes; none are identified without county verification.</w:t>
      </w:r>
    </w:p>
    <w:p w14:paraId="65CC7769" w14:textId="77777777" w:rsidR="00964317" w:rsidRPr="00566B6A" w:rsidRDefault="00964317">
      <w:pPr>
        <w:spacing w:after="60"/>
        <w:rPr>
          <w:rFonts w:ascii="Courier New" w:hAnsi="Courier New" w:cs="Courier New"/>
          <w:sz w:val="22"/>
        </w:rPr>
      </w:pPr>
    </w:p>
    <w:p w14:paraId="700DE942"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Case Law (Curated)</w:t>
      </w:r>
    </w:p>
    <w:tbl>
      <w:tblPr>
        <w:tblStyle w:val="TableGrid"/>
        <w:tblW w:w="0" w:type="auto"/>
        <w:jc w:val="center"/>
        <w:tblLayout w:type="fixed"/>
        <w:tblLook w:val="04A0" w:firstRow="1" w:lastRow="0" w:firstColumn="1" w:lastColumn="0" w:noHBand="0" w:noVBand="1"/>
      </w:tblPr>
      <w:tblGrid>
        <w:gridCol w:w="2232"/>
        <w:gridCol w:w="1152"/>
        <w:gridCol w:w="748"/>
        <w:gridCol w:w="2088"/>
        <w:gridCol w:w="4536"/>
        <w:gridCol w:w="3643"/>
      </w:tblGrid>
      <w:tr w:rsidR="00756B19" w:rsidRPr="00566B6A" w14:paraId="3FCC1775" w14:textId="77777777">
        <w:trPr>
          <w:cantSplit/>
          <w:tblHeader/>
          <w:jc w:val="center"/>
        </w:trPr>
        <w:tc>
          <w:tcPr>
            <w:tcW w:w="2232" w:type="dxa"/>
            <w:shd w:val="clear" w:color="auto" w:fill="D9EAF7"/>
            <w:tcMar>
              <w:top w:w="55" w:type="dxa"/>
              <w:left w:w="55" w:type="dxa"/>
              <w:bottom w:w="55" w:type="dxa"/>
              <w:right w:w="55" w:type="dxa"/>
            </w:tcMar>
            <w:vAlign w:val="center"/>
          </w:tcPr>
          <w:p w14:paraId="60BA7B51"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Case Name</w:t>
            </w:r>
          </w:p>
        </w:tc>
        <w:tc>
          <w:tcPr>
            <w:tcW w:w="1152" w:type="dxa"/>
            <w:shd w:val="clear" w:color="auto" w:fill="D9EAF7"/>
            <w:tcMar>
              <w:top w:w="55" w:type="dxa"/>
              <w:left w:w="55" w:type="dxa"/>
              <w:bottom w:w="55" w:type="dxa"/>
              <w:right w:w="55" w:type="dxa"/>
            </w:tcMar>
            <w:vAlign w:val="center"/>
          </w:tcPr>
          <w:p w14:paraId="6D19B375"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Court</w:t>
            </w:r>
          </w:p>
        </w:tc>
        <w:tc>
          <w:tcPr>
            <w:tcW w:w="748" w:type="dxa"/>
            <w:shd w:val="clear" w:color="auto" w:fill="D9EAF7"/>
            <w:tcMar>
              <w:top w:w="55" w:type="dxa"/>
              <w:left w:w="55" w:type="dxa"/>
              <w:bottom w:w="55" w:type="dxa"/>
              <w:right w:w="55" w:type="dxa"/>
            </w:tcMar>
            <w:vAlign w:val="center"/>
          </w:tcPr>
          <w:p w14:paraId="0E0671F7"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Year</w:t>
            </w:r>
          </w:p>
        </w:tc>
        <w:tc>
          <w:tcPr>
            <w:tcW w:w="2088" w:type="dxa"/>
            <w:shd w:val="clear" w:color="auto" w:fill="D9EAF7"/>
            <w:tcMar>
              <w:top w:w="55" w:type="dxa"/>
              <w:left w:w="55" w:type="dxa"/>
              <w:bottom w:w="55" w:type="dxa"/>
              <w:right w:w="55" w:type="dxa"/>
            </w:tcMar>
            <w:vAlign w:val="center"/>
          </w:tcPr>
          <w:p w14:paraId="284EB7E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Citation</w:t>
            </w:r>
          </w:p>
        </w:tc>
        <w:tc>
          <w:tcPr>
            <w:tcW w:w="4536" w:type="dxa"/>
            <w:shd w:val="clear" w:color="auto" w:fill="D9EAF7"/>
            <w:tcMar>
              <w:top w:w="55" w:type="dxa"/>
              <w:left w:w="55" w:type="dxa"/>
              <w:bottom w:w="55" w:type="dxa"/>
              <w:right w:w="55" w:type="dxa"/>
            </w:tcMar>
            <w:vAlign w:val="center"/>
          </w:tcPr>
          <w:p w14:paraId="6EF28C22"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Holding Summary</w:t>
            </w:r>
          </w:p>
        </w:tc>
        <w:tc>
          <w:tcPr>
            <w:tcW w:w="3643" w:type="dxa"/>
            <w:shd w:val="clear" w:color="auto" w:fill="D9EAF7"/>
            <w:tcMar>
              <w:top w:w="55" w:type="dxa"/>
              <w:left w:w="55" w:type="dxa"/>
              <w:bottom w:w="55" w:type="dxa"/>
              <w:right w:w="55" w:type="dxa"/>
            </w:tcMar>
            <w:vAlign w:val="center"/>
          </w:tcPr>
          <w:p w14:paraId="69F6E56B" w14:textId="77777777" w:rsidR="00756B19" w:rsidRPr="00566B6A" w:rsidRDefault="00F247EE">
            <w:pPr>
              <w:spacing w:after="0"/>
              <w:jc w:val="center"/>
              <w:rPr>
                <w:rFonts w:ascii="Courier New" w:hAnsi="Courier New" w:cs="Courier New"/>
                <w:sz w:val="22"/>
              </w:rPr>
            </w:pPr>
            <w:r w:rsidRPr="00566B6A">
              <w:rPr>
                <w:rFonts w:ascii="Courier New" w:hAnsi="Courier New" w:cs="Courier New"/>
                <w:b/>
                <w:sz w:val="22"/>
              </w:rPr>
              <w:t>Practical Use</w:t>
            </w:r>
          </w:p>
        </w:tc>
      </w:tr>
      <w:tr w:rsidR="00756B19" w:rsidRPr="00566B6A" w14:paraId="281C0541" w14:textId="77777777">
        <w:trPr>
          <w:cantSplit/>
          <w:jc w:val="center"/>
        </w:trPr>
        <w:tc>
          <w:tcPr>
            <w:tcW w:w="2232" w:type="dxa"/>
            <w:tcMar>
              <w:top w:w="50" w:type="dxa"/>
              <w:left w:w="55" w:type="dxa"/>
              <w:bottom w:w="50" w:type="dxa"/>
              <w:right w:w="55" w:type="dxa"/>
            </w:tcMar>
          </w:tcPr>
          <w:p w14:paraId="13ACB85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Courbat v. Dahana Ranch, Inc.</w:t>
            </w:r>
          </w:p>
        </w:tc>
        <w:tc>
          <w:tcPr>
            <w:tcW w:w="1152" w:type="dxa"/>
            <w:tcMar>
              <w:top w:w="50" w:type="dxa"/>
              <w:left w:w="55" w:type="dxa"/>
              <w:bottom w:w="50" w:type="dxa"/>
              <w:right w:w="55" w:type="dxa"/>
            </w:tcMar>
          </w:tcPr>
          <w:p w14:paraId="6428134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 Sup. Ct.</w:t>
            </w:r>
          </w:p>
        </w:tc>
        <w:tc>
          <w:tcPr>
            <w:tcW w:w="748" w:type="dxa"/>
            <w:tcMar>
              <w:top w:w="50" w:type="dxa"/>
              <w:left w:w="55" w:type="dxa"/>
              <w:bottom w:w="50" w:type="dxa"/>
              <w:right w:w="55" w:type="dxa"/>
            </w:tcMar>
          </w:tcPr>
          <w:p w14:paraId="7079784A"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2006</w:t>
            </w:r>
          </w:p>
        </w:tc>
        <w:tc>
          <w:tcPr>
            <w:tcW w:w="2088" w:type="dxa"/>
            <w:tcMar>
              <w:top w:w="50" w:type="dxa"/>
              <w:left w:w="55" w:type="dxa"/>
              <w:bottom w:w="50" w:type="dxa"/>
              <w:right w:w="55" w:type="dxa"/>
            </w:tcMar>
          </w:tcPr>
          <w:p w14:paraId="7F08B0B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111 Hawai‘i 254, 141 P.3d 427</w:t>
            </w:r>
          </w:p>
        </w:tc>
        <w:tc>
          <w:tcPr>
            <w:tcW w:w="4536" w:type="dxa"/>
            <w:tcMar>
              <w:top w:w="50" w:type="dxa"/>
              <w:left w:w="55" w:type="dxa"/>
              <w:bottom w:w="50" w:type="dxa"/>
              <w:right w:w="55" w:type="dxa"/>
            </w:tcMar>
          </w:tcPr>
          <w:p w14:paraId="0B70EDE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A deceptive practice is objectively likely to mislead reasonable consumers and is material; intent to deceive and actual deception of every consumer are not required.</w:t>
            </w:r>
          </w:p>
        </w:tc>
        <w:tc>
          <w:tcPr>
            <w:tcW w:w="3643" w:type="dxa"/>
            <w:tcMar>
              <w:top w:w="50" w:type="dxa"/>
              <w:left w:w="55" w:type="dxa"/>
              <w:bottom w:w="50" w:type="dxa"/>
              <w:right w:w="55" w:type="dxa"/>
            </w:tcMar>
          </w:tcPr>
          <w:p w14:paraId="06633CB1"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Identify the material representation or omission; preserve advertising, transaction records, injury, and causation evidence.</w:t>
            </w:r>
          </w:p>
        </w:tc>
      </w:tr>
      <w:tr w:rsidR="00756B19" w:rsidRPr="00566B6A" w14:paraId="0289CD92" w14:textId="77777777">
        <w:trPr>
          <w:cantSplit/>
          <w:jc w:val="center"/>
        </w:trPr>
        <w:tc>
          <w:tcPr>
            <w:tcW w:w="2232" w:type="dxa"/>
            <w:shd w:val="clear" w:color="auto" w:fill="F7FAFC"/>
            <w:tcMar>
              <w:top w:w="50" w:type="dxa"/>
              <w:left w:w="55" w:type="dxa"/>
              <w:bottom w:w="50" w:type="dxa"/>
              <w:right w:w="55" w:type="dxa"/>
            </w:tcMar>
          </w:tcPr>
          <w:p w14:paraId="560255D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Zanakis-Pico v. Cutter Dodge, Inc.</w:t>
            </w:r>
          </w:p>
        </w:tc>
        <w:tc>
          <w:tcPr>
            <w:tcW w:w="1152" w:type="dxa"/>
            <w:shd w:val="clear" w:color="auto" w:fill="F7FAFC"/>
            <w:tcMar>
              <w:top w:w="50" w:type="dxa"/>
              <w:left w:w="55" w:type="dxa"/>
              <w:bottom w:w="50" w:type="dxa"/>
              <w:right w:w="55" w:type="dxa"/>
            </w:tcMar>
          </w:tcPr>
          <w:p w14:paraId="32A51BE3"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 Sup. Ct.</w:t>
            </w:r>
          </w:p>
        </w:tc>
        <w:tc>
          <w:tcPr>
            <w:tcW w:w="748" w:type="dxa"/>
            <w:shd w:val="clear" w:color="auto" w:fill="F7FAFC"/>
            <w:tcMar>
              <w:top w:w="50" w:type="dxa"/>
              <w:left w:w="55" w:type="dxa"/>
              <w:bottom w:w="50" w:type="dxa"/>
              <w:right w:w="55" w:type="dxa"/>
            </w:tcMar>
          </w:tcPr>
          <w:p w14:paraId="032B9F1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2002</w:t>
            </w:r>
          </w:p>
        </w:tc>
        <w:tc>
          <w:tcPr>
            <w:tcW w:w="2088" w:type="dxa"/>
            <w:shd w:val="clear" w:color="auto" w:fill="F7FAFC"/>
            <w:tcMar>
              <w:top w:w="50" w:type="dxa"/>
              <w:left w:w="55" w:type="dxa"/>
              <w:bottom w:w="50" w:type="dxa"/>
              <w:right w:w="55" w:type="dxa"/>
            </w:tcMar>
          </w:tcPr>
          <w:p w14:paraId="3B82339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98 Hawai‘i 309, 47 P.3d 1222</w:t>
            </w:r>
          </w:p>
        </w:tc>
        <w:tc>
          <w:tcPr>
            <w:tcW w:w="4536" w:type="dxa"/>
            <w:shd w:val="clear" w:color="auto" w:fill="F7FAFC"/>
            <w:tcMar>
              <w:top w:w="50" w:type="dxa"/>
              <w:left w:w="55" w:type="dxa"/>
              <w:bottom w:w="50" w:type="dxa"/>
              <w:right w:w="55" w:type="dxa"/>
            </w:tcMar>
          </w:tcPr>
          <w:p w14:paraId="0D019DE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Recognized benefit-of-the-bargain damages under chapter 480 when competent evidence shows the value represented and the value received.</w:t>
            </w:r>
          </w:p>
        </w:tc>
        <w:tc>
          <w:tcPr>
            <w:tcW w:w="3643" w:type="dxa"/>
            <w:shd w:val="clear" w:color="auto" w:fill="F7FAFC"/>
            <w:tcMar>
              <w:top w:w="50" w:type="dxa"/>
              <w:left w:w="55" w:type="dxa"/>
              <w:bottom w:w="50" w:type="dxa"/>
              <w:right w:w="55" w:type="dxa"/>
            </w:tcMar>
          </w:tcPr>
          <w:p w14:paraId="12131E9B"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the contract, advertised value, actual value, repair/appraisal evidence, payments, and damages calculation.</w:t>
            </w:r>
          </w:p>
        </w:tc>
      </w:tr>
      <w:tr w:rsidR="00756B19" w:rsidRPr="00566B6A" w14:paraId="5087A0ED" w14:textId="77777777">
        <w:trPr>
          <w:cantSplit/>
          <w:jc w:val="center"/>
        </w:trPr>
        <w:tc>
          <w:tcPr>
            <w:tcW w:w="2232" w:type="dxa"/>
            <w:tcMar>
              <w:top w:w="50" w:type="dxa"/>
              <w:left w:w="55" w:type="dxa"/>
              <w:bottom w:w="50" w:type="dxa"/>
              <w:right w:w="55" w:type="dxa"/>
            </w:tcMar>
          </w:tcPr>
          <w:p w14:paraId="7BA0026C"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Flores v. Rawlings Co., LLC</w:t>
            </w:r>
          </w:p>
        </w:tc>
        <w:tc>
          <w:tcPr>
            <w:tcW w:w="1152" w:type="dxa"/>
            <w:tcMar>
              <w:top w:w="50" w:type="dxa"/>
              <w:left w:w="55" w:type="dxa"/>
              <w:bottom w:w="50" w:type="dxa"/>
              <w:right w:w="55" w:type="dxa"/>
            </w:tcMar>
          </w:tcPr>
          <w:p w14:paraId="4489E5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Haw. Sup. Ct.</w:t>
            </w:r>
          </w:p>
        </w:tc>
        <w:tc>
          <w:tcPr>
            <w:tcW w:w="748" w:type="dxa"/>
            <w:tcMar>
              <w:top w:w="50" w:type="dxa"/>
              <w:left w:w="55" w:type="dxa"/>
              <w:bottom w:w="50" w:type="dxa"/>
              <w:right w:w="55" w:type="dxa"/>
            </w:tcMar>
          </w:tcPr>
          <w:p w14:paraId="79407CC5"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2008</w:t>
            </w:r>
          </w:p>
        </w:tc>
        <w:tc>
          <w:tcPr>
            <w:tcW w:w="2088" w:type="dxa"/>
            <w:tcMar>
              <w:top w:w="50" w:type="dxa"/>
              <w:left w:w="55" w:type="dxa"/>
              <w:bottom w:w="50" w:type="dxa"/>
              <w:right w:w="55" w:type="dxa"/>
            </w:tcMar>
          </w:tcPr>
          <w:p w14:paraId="39FF9956"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117 Hawai‘i 153, 177 P.3d 341</w:t>
            </w:r>
          </w:p>
        </w:tc>
        <w:tc>
          <w:tcPr>
            <w:tcW w:w="4536" w:type="dxa"/>
            <w:tcMar>
              <w:top w:w="50" w:type="dxa"/>
              <w:left w:w="55" w:type="dxa"/>
              <w:bottom w:w="50" w:type="dxa"/>
              <w:right w:w="55" w:type="dxa"/>
            </w:tcMar>
          </w:tcPr>
          <w:p w14:paraId="1DAA572E"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Chapter 443B may be enforced through chapter 480 only when consumer and injury requirements are met; paying a valid obligation to an unregistered collector did not alone establish injury.</w:t>
            </w:r>
          </w:p>
        </w:tc>
        <w:tc>
          <w:tcPr>
            <w:tcW w:w="3643" w:type="dxa"/>
            <w:tcMar>
              <w:top w:w="50" w:type="dxa"/>
              <w:left w:w="55" w:type="dxa"/>
              <w:bottom w:w="50" w:type="dxa"/>
              <w:right w:w="55" w:type="dxa"/>
            </w:tcMar>
          </w:tcPr>
          <w:p w14:paraId="2ADF3882" w14:textId="77777777" w:rsidR="00756B19" w:rsidRPr="00566B6A" w:rsidRDefault="00F247EE">
            <w:pPr>
              <w:spacing w:after="0" w:line="240" w:lineRule="auto"/>
              <w:rPr>
                <w:rFonts w:ascii="Courier New" w:hAnsi="Courier New" w:cs="Courier New"/>
                <w:sz w:val="22"/>
              </w:rPr>
            </w:pPr>
            <w:r w:rsidRPr="00566B6A">
              <w:rPr>
                <w:rFonts w:ascii="Courier New" w:hAnsi="Courier New" w:cs="Courier New"/>
                <w:sz w:val="22"/>
              </w:rPr>
              <w:t>Preserve registration, demands, payments, threats, deceptive statements, fees, disputes, and proof connecting prohibited conduct to injury.</w:t>
            </w:r>
          </w:p>
        </w:tc>
      </w:tr>
    </w:tbl>
    <w:p w14:paraId="7E358BCC" w14:textId="77777777" w:rsidR="00756B19" w:rsidRPr="00566B6A" w:rsidRDefault="00756B19">
      <w:pPr>
        <w:spacing w:after="20"/>
        <w:rPr>
          <w:rFonts w:ascii="Courier New" w:hAnsi="Courier New" w:cs="Courier New"/>
          <w:sz w:val="22"/>
        </w:rPr>
      </w:pPr>
    </w:p>
    <w:p w14:paraId="6740F9EF" w14:textId="77777777" w:rsidR="00756B19" w:rsidRPr="00566B6A" w:rsidRDefault="00F247EE">
      <w:pPr>
        <w:pStyle w:val="Heading1"/>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t>PART G — ADAPTIVE AI AUTHORITY LIBRARY (CONSTANT UPDATES)</w:t>
      </w:r>
    </w:p>
    <w:p w14:paraId="42C12429"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Authority Library Version ID:</w:t>
      </w:r>
      <w:r w:rsidRPr="00566B6A">
        <w:rPr>
          <w:rFonts w:ascii="Courier New" w:hAnsi="Courier New" w:cs="Courier New"/>
          <w:sz w:val="22"/>
        </w:rPr>
        <w:t xml:space="preserve"> TK-Authority-2026-07-HI</w:t>
      </w:r>
    </w:p>
    <w:p w14:paraId="069506AD"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Last Updated Date:</w:t>
      </w:r>
      <w:r w:rsidRPr="00566B6A">
        <w:rPr>
          <w:rFonts w:ascii="Courier New" w:hAnsi="Courier New" w:cs="Courier New"/>
          <w:sz w:val="22"/>
        </w:rPr>
        <w:t xml:space="preserve"> July 23, 2026</w:t>
      </w:r>
    </w:p>
    <w:p w14:paraId="1E2DBCCB" w14:textId="77777777" w:rsidR="00756B19" w:rsidRPr="00566B6A" w:rsidRDefault="00F247EE">
      <w:pPr>
        <w:spacing w:after="60"/>
        <w:rPr>
          <w:rFonts w:ascii="Courier New" w:hAnsi="Courier New" w:cs="Courier New"/>
          <w:sz w:val="22"/>
        </w:rPr>
      </w:pPr>
      <w:r w:rsidRPr="00566B6A">
        <w:rPr>
          <w:rFonts w:ascii="Courier New" w:hAnsi="Courier New" w:cs="Courier New"/>
          <w:b/>
          <w:sz w:val="22"/>
        </w:rPr>
        <w:t>Jurisdiction Filters Applied:</w:t>
      </w:r>
      <w:r w:rsidRPr="00566B6A">
        <w:rPr>
          <w:rFonts w:ascii="Courier New" w:hAnsi="Courier New" w:cs="Courier New"/>
          <w:sz w:val="22"/>
        </w:rPr>
        <w:t xml:space="preserve"> Federal + HI + WA</w:t>
      </w:r>
    </w:p>
    <w:p w14:paraId="5BB07616"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Update Discipline: Validate citations before use. Hawaii statutes were checked against current Legislature and DCCA materials; federal authorities against current U.S. Code and Regulation V materials available July 23, 2026.</w:t>
      </w:r>
    </w:p>
    <w:p w14:paraId="1BAF08A1"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Confidence Flags</w:t>
      </w:r>
    </w:p>
    <w:p w14:paraId="24EACBC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State-Specific Authority</w:t>
      </w:r>
    </w:p>
    <w:p w14:paraId="5E98491D"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Preemption-Sensitive Authority</w:t>
      </w:r>
    </w:p>
    <w:p w14:paraId="1339C3BE"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Legislative Updates</w:t>
      </w:r>
    </w:p>
    <w:p w14:paraId="2A16FA36"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Subject to New Judicial Decisions</w:t>
      </w:r>
    </w:p>
    <w:p w14:paraId="4E89A73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Verification Required when a regulation, agency jurisdiction, local ordinance, or private remedy is not expressly confirmed</w:t>
      </w:r>
    </w:p>
    <w:p w14:paraId="11E081EF" w14:textId="77777777" w:rsidR="00756B19" w:rsidRPr="00566B6A" w:rsidRDefault="00F247EE">
      <w:pPr>
        <w:spacing w:after="60"/>
        <w:rPr>
          <w:rFonts w:ascii="Courier New" w:hAnsi="Courier New" w:cs="Courier New"/>
          <w:sz w:val="22"/>
        </w:rPr>
      </w:pPr>
      <w:r w:rsidRPr="00566B6A">
        <w:rPr>
          <w:rFonts w:ascii="Courier New" w:hAnsi="Courier New" w:cs="Courier New"/>
          <w:sz w:val="22"/>
        </w:rPr>
        <w:t>This section uses an updated authority library for federal and Hawaii consumer-protection law. Authorities may change. This material is educational only and is not legal advice or representation.</w:t>
      </w:r>
    </w:p>
    <w:p w14:paraId="6CE573F4" w14:textId="77777777" w:rsidR="00756B19" w:rsidRPr="00566B6A" w:rsidRDefault="00F247EE">
      <w:pPr>
        <w:pStyle w:val="Heading1"/>
        <w:pageBreakBefore/>
        <w:spacing w:before="160" w:after="80"/>
        <w:rPr>
          <w:rFonts w:ascii="Courier New" w:hAnsi="Courier New" w:cs="Courier New"/>
          <w:color w:val="auto"/>
          <w:sz w:val="22"/>
          <w:szCs w:val="22"/>
        </w:rPr>
      </w:pPr>
      <w:r w:rsidRPr="00566B6A">
        <w:rPr>
          <w:rFonts w:ascii="Courier New" w:eastAsia="Arial" w:hAnsi="Courier New" w:cs="Courier New"/>
          <w:color w:val="auto"/>
          <w:sz w:val="22"/>
          <w:szCs w:val="22"/>
        </w:rPr>
        <w:lastRenderedPageBreak/>
        <w:t>PART H — CITATION RULES (MANDATORY)</w:t>
      </w:r>
    </w:p>
    <w:p w14:paraId="399E5871"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Statutes / Acts: official code citation by title, chapter, article, and section.</w:t>
      </w:r>
    </w:p>
    <w:p w14:paraId="0AB3CA2F"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Regulations: current Hawaii Administrative Rules citation by department, division, chapter, and section.</w:t>
      </w:r>
    </w:p>
    <w:p w14:paraId="2E602C77"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Policies / Guidance: agency name, document or webpage title, publication or access date when available, and official source.</w:t>
      </w:r>
    </w:p>
    <w:p w14:paraId="3A969E55"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Cases: court, year, neutral citation and reporter citation when available; otherwise docket, court, year, and official/public source.</w:t>
      </w:r>
    </w:p>
    <w:p w14:paraId="3F44F932" w14:textId="77777777" w:rsidR="00756B19" w:rsidRPr="00566B6A" w:rsidRDefault="00F247EE">
      <w:pPr>
        <w:pStyle w:val="ListBullet"/>
        <w:spacing w:after="20" w:line="240" w:lineRule="auto"/>
        <w:rPr>
          <w:rFonts w:ascii="Courier New" w:hAnsi="Courier New" w:cs="Courier New"/>
          <w:sz w:val="22"/>
        </w:rPr>
      </w:pPr>
      <w:r w:rsidRPr="00566B6A">
        <w:rPr>
          <w:rFonts w:ascii="Courier New" w:hAnsi="Courier New" w:cs="Courier New"/>
          <w:sz w:val="22"/>
        </w:rPr>
        <w:t>No Citation = No Claim™: omit the statement or mark “Verification Required” and explain what must be verified.</w:t>
      </w:r>
    </w:p>
    <w:p w14:paraId="5418D698" w14:textId="77777777" w:rsidR="00756B19" w:rsidRPr="00566B6A" w:rsidRDefault="00F247EE">
      <w:pPr>
        <w:pStyle w:val="Heading2"/>
        <w:spacing w:before="100" w:after="40"/>
        <w:rPr>
          <w:rFonts w:ascii="Courier New" w:hAnsi="Courier New" w:cs="Courier New"/>
          <w:color w:val="auto"/>
          <w:sz w:val="22"/>
          <w:szCs w:val="22"/>
        </w:rPr>
      </w:pPr>
      <w:r w:rsidRPr="00566B6A">
        <w:rPr>
          <w:rFonts w:ascii="Courier New" w:eastAsia="Arial" w:hAnsi="Courier New" w:cs="Courier New"/>
          <w:color w:val="auto"/>
          <w:sz w:val="22"/>
          <w:szCs w:val="22"/>
        </w:rPr>
        <w:t>REQUIRED SECTION DISCLAIMER (END)</w:t>
      </w:r>
    </w:p>
    <w:p w14:paraId="57ED607B" w14:textId="77777777" w:rsidR="00756B19" w:rsidRDefault="00F247EE">
      <w:pPr>
        <w:keepLines/>
        <w:spacing w:before="40" w:after="0"/>
        <w:rPr>
          <w:rFonts w:ascii="Courier New" w:hAnsi="Courier New" w:cs="Courier New"/>
          <w:i/>
          <w:color w:val="464646"/>
          <w:sz w:val="22"/>
        </w:rPr>
      </w:pPr>
      <w:r w:rsidRPr="00566B6A">
        <w:rPr>
          <w:rFonts w:ascii="Courier New" w:hAnsi="Courier New" w:cs="Courier New"/>
          <w:i/>
          <w:sz w:val="22"/>
        </w:rPr>
        <w:t>Nothing contained within this section should be interpreted as legal advice, legal representation, or a guarantee of outcome. Consumers remain responsible for their own decisions and actions. Applicable laws, regulations, agency jurisdiction, and judicial interpretations may change over time. This section is provided solely for educational, informational</w:t>
      </w:r>
      <w:r w:rsidRPr="00566B6A">
        <w:rPr>
          <w:rFonts w:ascii="Courier New" w:hAnsi="Courier New" w:cs="Courier New"/>
          <w:i/>
          <w:color w:val="464646"/>
          <w:sz w:val="22"/>
        </w:rPr>
        <w:t>, and procedural self-help purposes.</w:t>
      </w:r>
    </w:p>
    <w:p w14:paraId="489B31AA" w14:textId="77777777" w:rsidR="00BD7EED" w:rsidRDefault="00BD7EED">
      <w:pPr>
        <w:keepLines/>
        <w:spacing w:before="40" w:after="0"/>
        <w:rPr>
          <w:rFonts w:ascii="Courier New" w:hAnsi="Courier New" w:cs="Courier New"/>
          <w:i/>
          <w:color w:val="464646"/>
          <w:sz w:val="22"/>
        </w:rPr>
      </w:pPr>
    </w:p>
    <w:p w14:paraId="04CD1E94" w14:textId="77777777" w:rsidR="00BD7EED" w:rsidRDefault="00BD7EED">
      <w:pPr>
        <w:keepLines/>
        <w:spacing w:before="40" w:after="0"/>
        <w:rPr>
          <w:rFonts w:ascii="Courier New" w:hAnsi="Courier New" w:cs="Courier New"/>
          <w:i/>
          <w:color w:val="464646"/>
          <w:sz w:val="22"/>
        </w:rPr>
      </w:pPr>
    </w:p>
    <w:p w14:paraId="4C1AC2BF" w14:textId="77777777" w:rsidR="00BD7EED" w:rsidRDefault="00BD7EED">
      <w:pPr>
        <w:keepLines/>
        <w:spacing w:before="40" w:after="0"/>
        <w:rPr>
          <w:rFonts w:ascii="Courier New" w:hAnsi="Courier New" w:cs="Courier New"/>
          <w:i/>
          <w:color w:val="464646"/>
          <w:sz w:val="22"/>
        </w:rPr>
      </w:pPr>
    </w:p>
    <w:p w14:paraId="39ADEEF5" w14:textId="77777777" w:rsidR="00BD7EED" w:rsidRDefault="00BD7EED">
      <w:pPr>
        <w:keepLines/>
        <w:spacing w:before="40" w:after="0"/>
        <w:rPr>
          <w:rFonts w:ascii="Courier New" w:hAnsi="Courier New" w:cs="Courier New"/>
          <w:i/>
          <w:color w:val="464646"/>
          <w:sz w:val="22"/>
        </w:rPr>
      </w:pPr>
    </w:p>
    <w:p w14:paraId="60B4F11D" w14:textId="77777777" w:rsidR="00BD7EED" w:rsidRDefault="00BD7EED">
      <w:pPr>
        <w:keepLines/>
        <w:spacing w:before="40" w:after="0"/>
        <w:rPr>
          <w:rFonts w:ascii="Courier New" w:hAnsi="Courier New" w:cs="Courier New"/>
          <w:i/>
          <w:color w:val="464646"/>
          <w:sz w:val="22"/>
        </w:rPr>
      </w:pPr>
    </w:p>
    <w:p w14:paraId="1892C3A6" w14:textId="77777777" w:rsidR="00BD7EED" w:rsidRDefault="00BD7EED">
      <w:pPr>
        <w:keepLines/>
        <w:spacing w:before="40" w:after="0"/>
        <w:rPr>
          <w:rFonts w:ascii="Courier New" w:hAnsi="Courier New" w:cs="Courier New"/>
          <w:i/>
          <w:color w:val="464646"/>
          <w:sz w:val="22"/>
        </w:rPr>
      </w:pPr>
    </w:p>
    <w:p w14:paraId="5168702D" w14:textId="77777777" w:rsidR="00BD7EED" w:rsidRDefault="00BD7EED">
      <w:pPr>
        <w:keepLines/>
        <w:spacing w:before="40" w:after="0"/>
        <w:rPr>
          <w:rFonts w:ascii="Courier New" w:hAnsi="Courier New" w:cs="Courier New"/>
          <w:i/>
          <w:color w:val="464646"/>
          <w:sz w:val="22"/>
        </w:rPr>
      </w:pPr>
    </w:p>
    <w:p w14:paraId="2EA44305" w14:textId="77777777" w:rsidR="00BD7EED" w:rsidRDefault="00BD7EED">
      <w:pPr>
        <w:keepLines/>
        <w:spacing w:before="40" w:after="0"/>
        <w:rPr>
          <w:rFonts w:ascii="Courier New" w:hAnsi="Courier New" w:cs="Courier New"/>
          <w:i/>
          <w:color w:val="464646"/>
          <w:sz w:val="22"/>
        </w:rPr>
      </w:pPr>
    </w:p>
    <w:p w14:paraId="6EABD408" w14:textId="77777777" w:rsidR="00BD7EED" w:rsidRDefault="00BD7EED">
      <w:pPr>
        <w:keepLines/>
        <w:spacing w:before="40" w:after="0"/>
        <w:rPr>
          <w:rFonts w:ascii="Courier New" w:hAnsi="Courier New" w:cs="Courier New"/>
          <w:i/>
          <w:color w:val="464646"/>
          <w:sz w:val="22"/>
        </w:rPr>
      </w:pPr>
    </w:p>
    <w:p w14:paraId="50F2201B" w14:textId="77777777" w:rsidR="00BD7EED" w:rsidRDefault="00BD7EED">
      <w:pPr>
        <w:keepLines/>
        <w:spacing w:before="40" w:after="0"/>
        <w:rPr>
          <w:rFonts w:ascii="Courier New" w:hAnsi="Courier New" w:cs="Courier New"/>
          <w:i/>
          <w:color w:val="464646"/>
          <w:sz w:val="22"/>
        </w:rPr>
      </w:pPr>
    </w:p>
    <w:p w14:paraId="73C6868B" w14:textId="77777777" w:rsidR="00BD7EED" w:rsidRDefault="00BD7EED">
      <w:pPr>
        <w:keepLines/>
        <w:spacing w:before="40" w:after="0"/>
        <w:rPr>
          <w:rFonts w:ascii="Courier New" w:hAnsi="Courier New" w:cs="Courier New"/>
          <w:i/>
          <w:color w:val="464646"/>
          <w:sz w:val="22"/>
        </w:rPr>
      </w:pPr>
    </w:p>
    <w:p w14:paraId="2224816D" w14:textId="77777777" w:rsidR="00BD7EED" w:rsidRDefault="00BD7EED">
      <w:pPr>
        <w:keepLines/>
        <w:spacing w:before="40" w:after="0"/>
        <w:rPr>
          <w:rFonts w:ascii="Courier New" w:hAnsi="Courier New" w:cs="Courier New"/>
          <w:i/>
          <w:color w:val="464646"/>
          <w:sz w:val="22"/>
        </w:rPr>
      </w:pPr>
    </w:p>
    <w:p w14:paraId="6D86010C" w14:textId="77777777" w:rsidR="00BD7EED" w:rsidRDefault="00BD7EED">
      <w:pPr>
        <w:keepLines/>
        <w:spacing w:before="40" w:after="0"/>
        <w:rPr>
          <w:rFonts w:ascii="Courier New" w:hAnsi="Courier New" w:cs="Courier New"/>
          <w:i/>
          <w:color w:val="464646"/>
          <w:sz w:val="22"/>
        </w:rPr>
      </w:pPr>
    </w:p>
    <w:p w14:paraId="48E30A04" w14:textId="77777777" w:rsidR="00BD7EED" w:rsidRPr="00566B6A" w:rsidRDefault="00BD7EED">
      <w:pPr>
        <w:keepLines/>
        <w:spacing w:before="40" w:after="0"/>
        <w:rPr>
          <w:rFonts w:ascii="Courier New" w:hAnsi="Courier New" w:cs="Courier New"/>
          <w:sz w:val="22"/>
        </w:rPr>
      </w:pPr>
    </w:p>
    <w:p w14:paraId="49042195" w14:textId="77777777" w:rsidR="00BD2ABC" w:rsidRDefault="001E5CC5">
      <w:pPr>
        <w:pageBreakBefore/>
      </w:pPr>
      <w:r>
        <w:rPr>
          <w:color w:val="FFFFFF"/>
          <w:sz w:val="2"/>
        </w:rPr>
        <w:lastRenderedPageBreak/>
        <w:t> </w:t>
      </w:r>
    </w:p>
    <w:sectPr w:rsidR="00BD2ABC" w:rsidSect="00024A47">
      <w:headerReference w:type="default" r:id="rId8"/>
      <w:footerReference w:type="default" r:id="rId9"/>
      <w:pgSz w:w="15840" w:h="12240" w:orient="landscape"/>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F32F9" w14:textId="77777777" w:rsidR="001E5CC5" w:rsidRDefault="001E5CC5">
      <w:pPr>
        <w:spacing w:after="0" w:line="240" w:lineRule="auto"/>
      </w:pPr>
      <w:r>
        <w:separator/>
      </w:r>
    </w:p>
  </w:endnote>
  <w:endnote w:type="continuationSeparator" w:id="0">
    <w:p w14:paraId="6F5FAED2" w14:textId="77777777" w:rsidR="001E5CC5" w:rsidRDefault="001E5C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843A9" w14:textId="77777777" w:rsidR="00756B19" w:rsidRDefault="00F247EE">
    <w:pPr>
      <w:pStyle w:val="Footer"/>
      <w:jc w:val="center"/>
    </w:pPr>
    <w:r>
      <w:rPr>
        <w:i/>
        <w:color w:val="5A5A5A"/>
        <w:sz w:val="14"/>
      </w:rPr>
      <w:t>Educational and procedural self-help material — not legal advice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6C0A9" w14:textId="77777777" w:rsidR="001E5CC5" w:rsidRDefault="001E5CC5">
      <w:pPr>
        <w:spacing w:after="0" w:line="240" w:lineRule="auto"/>
      </w:pPr>
      <w:r>
        <w:separator/>
      </w:r>
    </w:p>
  </w:footnote>
  <w:footnote w:type="continuationSeparator" w:id="0">
    <w:p w14:paraId="69496F31" w14:textId="77777777" w:rsidR="001E5CC5" w:rsidRDefault="001E5C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EB59" w14:textId="77777777" w:rsidR="00756B19" w:rsidRDefault="00F247EE">
    <w:pPr>
      <w:pStyle w:val="Header"/>
      <w:jc w:val="right"/>
    </w:pPr>
    <w:r>
      <w:rPr>
        <w:b/>
        <w:color w:val="505050"/>
        <w:sz w:val="15"/>
      </w:rPr>
      <w:t>GLADIC AI™ — SECTION 3A | HAWAII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4968295">
    <w:abstractNumId w:val="8"/>
  </w:num>
  <w:num w:numId="2" w16cid:durableId="587035469">
    <w:abstractNumId w:val="6"/>
  </w:num>
  <w:num w:numId="3" w16cid:durableId="1436708472">
    <w:abstractNumId w:val="5"/>
  </w:num>
  <w:num w:numId="4" w16cid:durableId="1789540790">
    <w:abstractNumId w:val="4"/>
  </w:num>
  <w:num w:numId="5" w16cid:durableId="1384210192">
    <w:abstractNumId w:val="7"/>
  </w:num>
  <w:num w:numId="6" w16cid:durableId="1391731214">
    <w:abstractNumId w:val="3"/>
  </w:num>
  <w:num w:numId="7" w16cid:durableId="1612858173">
    <w:abstractNumId w:val="2"/>
  </w:num>
  <w:num w:numId="8" w16cid:durableId="1642072394">
    <w:abstractNumId w:val="1"/>
  </w:num>
  <w:num w:numId="9" w16cid:durableId="14229936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4A47"/>
    <w:rsid w:val="00034616"/>
    <w:rsid w:val="0006063C"/>
    <w:rsid w:val="000C26BB"/>
    <w:rsid w:val="0015074B"/>
    <w:rsid w:val="001E5CC5"/>
    <w:rsid w:val="0029639D"/>
    <w:rsid w:val="00303901"/>
    <w:rsid w:val="00326F90"/>
    <w:rsid w:val="00463F22"/>
    <w:rsid w:val="00566B6A"/>
    <w:rsid w:val="00655F05"/>
    <w:rsid w:val="006F27AD"/>
    <w:rsid w:val="00736F61"/>
    <w:rsid w:val="00756B19"/>
    <w:rsid w:val="00964317"/>
    <w:rsid w:val="00AA1D8D"/>
    <w:rsid w:val="00B47730"/>
    <w:rsid w:val="00BD2ABC"/>
    <w:rsid w:val="00BD7EED"/>
    <w:rsid w:val="00CB0664"/>
    <w:rsid w:val="00F247E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0551B"/>
  <w14:defaultImageDpi w14:val="300"/>
  <w15:docId w15:val="{5EEB66F3-E441-4F2E-A330-5A737E432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3752</Words>
  <Characters>21391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Section 3A — Wyoming Laws and Federal FCRA Personal Information Corrections</vt:lpstr>
    </vt:vector>
  </TitlesOfParts>
  <Manager/>
  <Company/>
  <LinksUpToDate>false</LinksUpToDate>
  <CharactersWithSpaces>25093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3A — Wyoming Laws and Federal FCRA Personal Information Corrections</dc:title>
  <dc:subject>Wyoming consumer protection, federal FCRA, inaccurate address, employment, and contact information</dc:subject>
  <dc:creator>GLADIC AI™</dc:creator>
  <cp:keywords>Wyoming, consumer protection, WCPA, FCRA, debt collection, security freeze, case law</cp:keywords>
  <dc:description>Educational and procedural self-help material.</dc:description>
  <cp:lastModifiedBy>Louis Lewis</cp:lastModifiedBy>
  <cp:revision>2</cp:revision>
  <dcterms:created xsi:type="dcterms:W3CDTF">2026-07-24T02:49:00Z</dcterms:created>
  <dcterms:modified xsi:type="dcterms:W3CDTF">2026-07-24T02:49:00Z</dcterms:modified>
  <cp:category/>
</cp:coreProperties>
</file>