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384A"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4BE55250" w14:textId="77777777" w:rsidR="00024A47" w:rsidRPr="00024A47" w:rsidRDefault="00024A47">
      <w:pPr>
        <w:spacing w:after="140"/>
        <w:jc w:val="center"/>
        <w:rPr>
          <w:rFonts w:ascii="Courier New" w:hAnsi="Courier New" w:cs="Courier New"/>
          <w:b/>
          <w:sz w:val="22"/>
        </w:rPr>
      </w:pPr>
    </w:p>
    <w:p w14:paraId="3793A253" w14:textId="77777777"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35C72D22" w14:textId="77777777" w:rsidR="00566B6A" w:rsidRPr="00024A47" w:rsidRDefault="00566B6A" w:rsidP="00566B6A">
      <w:pPr>
        <w:spacing w:after="0"/>
        <w:jc w:val="center"/>
        <w:rPr>
          <w:rFonts w:ascii="Courier New" w:hAnsi="Courier New" w:cs="Courier New"/>
          <w:bCs/>
          <w:sz w:val="22"/>
        </w:rPr>
      </w:pPr>
    </w:p>
    <w:p w14:paraId="351B492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72D2CBF6"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1BE7984D"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1ECA863C"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Illinois (IL)</w:t>
      </w:r>
    </w:p>
    <w:p w14:paraId="5A8C717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58EA52A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30728C44"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357BE93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Illinois Consumer Fraud and Deceptive Business Practices Act (ICFA)</w:t>
      </w:r>
    </w:p>
    <w:p w14:paraId="6DAFAF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815 ILCS 505/1 through 505/12</w:t>
      </w:r>
    </w:p>
    <w:p w14:paraId="07ED131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including fraud, false promises, misrepresentations, and material concealment or omission in trade or commerce.</w:t>
      </w:r>
    </w:p>
    <w:p w14:paraId="2D019BB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815 ILCS 505/10a, qualifying relief may include actual economic damages, injunction, other appropriate relief, costs, reasonable attorney’s fees, and punitive damages where supported. Public enforcement may include injunction, restitution, and civil penalties.</w:t>
      </w:r>
    </w:p>
    <w:p w14:paraId="31BE9C5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by 815 ILCS 505/10a for actual damage caused by an unlawful practice. Document the deceptive or unfair practice, intent that others rely, trade or commerce, actual damage, and proximate causation. Actions generally must be filed within three years under § 10a(e).</w:t>
      </w:r>
    </w:p>
    <w:p w14:paraId="78804A3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Illinois Attorney General — Consumer Protection Division; investigative authority under 815 ILCS 505/3.</w:t>
      </w:r>
    </w:p>
    <w:p w14:paraId="6CABD19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1694249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activity present — classify the actor as a collection agency, debt buyer, creditor, servicer, attorney, or other entity before selecting state and federal law.</w:t>
      </w:r>
    </w:p>
    <w:p w14:paraId="4C4B5D4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Illinois Collection Agency Act regulates licensing, debt buyers, communications, validation, identity-theft claims, prohibited practices, discipline, and remedies. It is currently codified at 205 ILCS 740/1 et seq.; the former 225 ILCS 425 citation was moved.</w:t>
      </w:r>
    </w:p>
    <w:p w14:paraId="0246A37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205 ILCS 740/1 et seq. (formerly 225 ILCS 425/1 et seq.); 15 U.S.C. §§ 1692–1692p.</w:t>
      </w:r>
    </w:p>
    <w:p w14:paraId="6AFA064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Illinois Department of Financial and Professional Regulation (IDFPR), Division of Financial Institutions; Illinois Attorney General; CFPB and FTC where applicable.</w:t>
      </w:r>
    </w:p>
    <w:p w14:paraId="14D01A9B"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0E996F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Illinois has no broad state analogue governing all FCRA accuracy duties. 815 ILCS 505/2MM addresses identity and address verification in specified credit applications and security-freeze rights. Federal FCRA procedures remain primary.</w:t>
      </w:r>
    </w:p>
    <w:p w14:paraId="2F46D94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Illinois consumers may place, temporarily lift, or remove a freeze under 815 ILCS 505/2MM, including procedures for minors and persons with disabilities.</w:t>
      </w:r>
    </w:p>
    <w:p w14:paraId="4C0B886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use federal file-disclosure rights and the freeze disclosures, confirmations, and identification procedures in § 2MM.</w:t>
      </w:r>
    </w:p>
    <w:p w14:paraId="717C0BE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 inaccurate, incomplete, or unverifiable personal identifiers directly with the CRA under 15 U.S.C. § 1681i. Evaluate Illinois claims separately for FCRA preemption.</w:t>
      </w:r>
    </w:p>
    <w:p w14:paraId="3EE1001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fraud-alert rights are supplemented by Illinois freezes, change notices, identity verification, criminal identity-theft law, and collection-file restoration procedures.</w:t>
      </w:r>
    </w:p>
    <w:p w14:paraId="58CC8F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Because § 2MM is within the ICFA, qualifying violations may support applicable public or private ICFA relief when all elements, injury, causation, and remedy standards are proved.</w:t>
      </w:r>
    </w:p>
    <w:p w14:paraId="3A99B241"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3558461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168608CC"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2F0C3A2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03208F7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CRA dispute and reasonable reinvestigation: Under 15 U.S.C. § 1681i(a)(1)(A), when the consumer disputes the completeness or accuracy of any item of information in the file and notifies the consumer reporting agency, the agency must conduct a reasonable reinvestigation free of charge, </w:t>
      </w:r>
      <w:r w:rsidRPr="00566B6A">
        <w:rPr>
          <w:rFonts w:ascii="Courier New" w:hAnsi="Courier New" w:cs="Courier New"/>
          <w:bCs/>
          <w:sz w:val="22"/>
        </w:rPr>
        <w:lastRenderedPageBreak/>
        <w:t>determine whether the item is inaccurate, record its current status, or delete it in accordance with § 1681i(a)(5). Section 1681i(a)(4) requires the agency to review and consider all relevant information submitted by the consumer.</w:t>
      </w:r>
    </w:p>
    <w:p w14:paraId="132B93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09BDF19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56EA4D27"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759EB17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640A724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CEDE0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w:t>
      </w:r>
      <w:r w:rsidRPr="00566B6A">
        <w:rPr>
          <w:rFonts w:ascii="Courier New" w:hAnsi="Courier New" w:cs="Courier New"/>
          <w:bCs/>
          <w:sz w:val="22"/>
        </w:rPr>
        <w:lastRenderedPageBreak/>
        <w:t>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3E291414"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48F4133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720 ILCS 5/16-30 criminalizes identity theft and aggravated identity theft, including specified unauthorized use, possession, transfer, purchase, manufacture, or use of identifying information or documents.</w:t>
      </w:r>
    </w:p>
    <w:p w14:paraId="5691F78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Collection-file procedure: Under 205 ILCS 740/9.4, a debtor may submit an identity-theft statement and supporting records. A covered agency must review the claim and, when required, cease collection and request deletion of related credit reporting.</w:t>
      </w:r>
    </w:p>
    <w:p w14:paraId="38D2BC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Use police and FTC reports, federal alerts and blocking, Illinois freezes, collection-agency submissions, creditor notices, and documented bureau disputes.</w:t>
      </w:r>
    </w:p>
    <w:p w14:paraId="07968A5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Preserve police/FTC reports, freeze confirmations, collection-agency submissions, creditor notices, bureau responses, and complaint numbers.</w:t>
      </w:r>
    </w:p>
    <w:p w14:paraId="3546E20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7B5A3B5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The Personal Information Protection Act requires covered data collectors to notify affected Illinois residents of qualifying breaches in the most expedient time possible and without unreasonable delay, subject to statutory exceptions.</w:t>
      </w:r>
    </w:p>
    <w:p w14:paraId="4FA3BB7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PIPA is codified at 815 ILCS 530/1–530/50. Section 10 governs private data-collector notice and Attorney General notice when more than 500 Illinois residents are affected.</w:t>
      </w:r>
    </w:p>
    <w:p w14:paraId="575CBBD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Additional Illinois privacy laws may apply; this module is limited to the listed consumer-fraud, collection, freeze, identity-theft, and breach authorities.</w:t>
      </w:r>
    </w:p>
    <w:p w14:paraId="1B9F3CF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breach findings, affected data, resident and AG notices, delivery dates, delay requests, security measures, and remediation records.</w:t>
      </w:r>
    </w:p>
    <w:p w14:paraId="46F28DFF"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623E474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Illinois Attorney General — Consumer Protection Division: Complaint intake, informal dispute resolution, investigation, education, and ICFA enforcement.</w:t>
      </w:r>
    </w:p>
    <w:p w14:paraId="0A4242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IDFPR — Division of Financial Institutions: Collection-agency licensing, complaints, examinations, investigations, discipline, and enforcement.</w:t>
      </w:r>
    </w:p>
    <w:p w14:paraId="2B0750D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Illinois Attorney General identity-theft resources: Consumer assistance, complaint intake, restoration guidance, and referrals.</w:t>
      </w:r>
    </w:p>
    <w:p w14:paraId="52B4E51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Federal escalation: CFPB and FTC complaint pathways may complement state intake when federal consumer-finance or debt-collection law applies.</w:t>
      </w:r>
    </w:p>
    <w:p w14:paraId="00C5FB9A"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4651FEAA"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controlling for credit-report disputes; none are identified without municipal verification.</w:t>
      </w:r>
    </w:p>
    <w:p w14:paraId="52A390AE" w14:textId="77777777" w:rsidR="00566B6A" w:rsidRPr="00566B6A" w:rsidRDefault="00566B6A" w:rsidP="00566B6A">
      <w:pPr>
        <w:spacing w:after="0"/>
        <w:rPr>
          <w:rFonts w:ascii="Courier New" w:hAnsi="Courier New" w:cs="Courier New"/>
          <w:bCs/>
          <w:sz w:val="22"/>
        </w:rPr>
      </w:pPr>
    </w:p>
    <w:p w14:paraId="67F24F1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165F73BE" w14:textId="77777777">
        <w:trPr>
          <w:cantSplit/>
          <w:tblHeader/>
          <w:jc w:val="center"/>
        </w:trPr>
        <w:tc>
          <w:tcPr>
            <w:tcW w:w="1440" w:type="dxa"/>
            <w:shd w:val="clear" w:color="auto" w:fill="D9EAF7"/>
            <w:tcMar>
              <w:top w:w="55" w:type="dxa"/>
              <w:left w:w="55" w:type="dxa"/>
              <w:bottom w:w="55" w:type="dxa"/>
              <w:right w:w="55" w:type="dxa"/>
            </w:tcMar>
            <w:vAlign w:val="center"/>
          </w:tcPr>
          <w:p w14:paraId="55D1AE3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6815C4B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262915B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1133213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718F027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1B52406C" w14:textId="77777777">
        <w:trPr>
          <w:cantSplit/>
          <w:jc w:val="center"/>
        </w:trPr>
        <w:tc>
          <w:tcPr>
            <w:tcW w:w="1440" w:type="dxa"/>
            <w:tcMar>
              <w:top w:w="50" w:type="dxa"/>
              <w:left w:w="55" w:type="dxa"/>
              <w:bottom w:w="50" w:type="dxa"/>
              <w:right w:w="55" w:type="dxa"/>
            </w:tcMar>
          </w:tcPr>
          <w:p w14:paraId="66E7FD1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CE5369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815 ILCS 505/1–12</w:t>
            </w:r>
          </w:p>
        </w:tc>
        <w:tc>
          <w:tcPr>
            <w:tcW w:w="3168" w:type="dxa"/>
            <w:tcMar>
              <w:top w:w="50" w:type="dxa"/>
              <w:left w:w="55" w:type="dxa"/>
              <w:bottom w:w="50" w:type="dxa"/>
              <w:right w:w="55" w:type="dxa"/>
            </w:tcMar>
          </w:tcPr>
          <w:p w14:paraId="306D2E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ICFA — unfair or deceptive trade practices</w:t>
            </w:r>
          </w:p>
        </w:tc>
        <w:tc>
          <w:tcPr>
            <w:tcW w:w="3456" w:type="dxa"/>
            <w:tcMar>
              <w:top w:w="50" w:type="dxa"/>
              <w:left w:w="55" w:type="dxa"/>
              <w:bottom w:w="50" w:type="dxa"/>
              <w:right w:w="55" w:type="dxa"/>
            </w:tcMar>
          </w:tcPr>
          <w:p w14:paraId="679917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injunction, fees/costs, punitive relief; public restitution and penalties</w:t>
            </w:r>
          </w:p>
        </w:tc>
        <w:tc>
          <w:tcPr>
            <w:tcW w:w="3888" w:type="dxa"/>
            <w:tcMar>
              <w:top w:w="50" w:type="dxa"/>
              <w:left w:w="55" w:type="dxa"/>
              <w:bottom w:w="50" w:type="dxa"/>
              <w:right w:w="55" w:type="dxa"/>
            </w:tcMar>
          </w:tcPr>
          <w:p w14:paraId="771929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Practice; intent; trade/commerce; actual damage; causation; three-year timing</w:t>
            </w:r>
          </w:p>
        </w:tc>
      </w:tr>
      <w:tr w:rsidR="00756B19" w:rsidRPr="00566B6A" w14:paraId="3567562B" w14:textId="77777777">
        <w:trPr>
          <w:cantSplit/>
          <w:jc w:val="center"/>
        </w:trPr>
        <w:tc>
          <w:tcPr>
            <w:tcW w:w="1440" w:type="dxa"/>
            <w:shd w:val="clear" w:color="auto" w:fill="F7FAFC"/>
            <w:tcMar>
              <w:top w:w="50" w:type="dxa"/>
              <w:left w:w="55" w:type="dxa"/>
              <w:bottom w:w="50" w:type="dxa"/>
              <w:right w:w="55" w:type="dxa"/>
            </w:tcMar>
          </w:tcPr>
          <w:p w14:paraId="3D7E33C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2D95D44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205 ILCS 740/1 et seq.</w:t>
            </w:r>
          </w:p>
        </w:tc>
        <w:tc>
          <w:tcPr>
            <w:tcW w:w="3168" w:type="dxa"/>
            <w:shd w:val="clear" w:color="auto" w:fill="F7FAFC"/>
            <w:tcMar>
              <w:top w:w="50" w:type="dxa"/>
              <w:left w:w="55" w:type="dxa"/>
              <w:bottom w:w="50" w:type="dxa"/>
              <w:right w:w="55" w:type="dxa"/>
            </w:tcMar>
          </w:tcPr>
          <w:p w14:paraId="67FE7A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debt buyers, validation, communications, and licensing</w:t>
            </w:r>
          </w:p>
        </w:tc>
        <w:tc>
          <w:tcPr>
            <w:tcW w:w="3456" w:type="dxa"/>
            <w:shd w:val="clear" w:color="auto" w:fill="F7FAFC"/>
            <w:tcMar>
              <w:top w:w="50" w:type="dxa"/>
              <w:left w:w="55" w:type="dxa"/>
              <w:bottom w:w="50" w:type="dxa"/>
              <w:right w:w="55" w:type="dxa"/>
            </w:tcMar>
          </w:tcPr>
          <w:p w14:paraId="28BB876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review, discipline, fines, injunctions, and public remedies; FDCPA separately</w:t>
            </w:r>
          </w:p>
        </w:tc>
        <w:tc>
          <w:tcPr>
            <w:tcW w:w="3888" w:type="dxa"/>
            <w:shd w:val="clear" w:color="auto" w:fill="F7FAFC"/>
            <w:tcMar>
              <w:top w:w="50" w:type="dxa"/>
              <w:left w:w="55" w:type="dxa"/>
              <w:bottom w:w="50" w:type="dxa"/>
              <w:right w:w="55" w:type="dxa"/>
            </w:tcMar>
          </w:tcPr>
          <w:p w14:paraId="3D45AF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Actor/license; assignment; notices; disputes; calls/letters; ledger; charges</w:t>
            </w:r>
          </w:p>
        </w:tc>
      </w:tr>
      <w:tr w:rsidR="00756B19" w:rsidRPr="00566B6A" w14:paraId="38FF65FE" w14:textId="77777777">
        <w:trPr>
          <w:cantSplit/>
          <w:jc w:val="center"/>
        </w:trPr>
        <w:tc>
          <w:tcPr>
            <w:tcW w:w="1440" w:type="dxa"/>
            <w:tcMar>
              <w:top w:w="50" w:type="dxa"/>
              <w:left w:w="55" w:type="dxa"/>
              <w:bottom w:w="50" w:type="dxa"/>
              <w:right w:w="55" w:type="dxa"/>
            </w:tcMar>
          </w:tcPr>
          <w:p w14:paraId="58616F3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2CF53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815 ILCS 505/2MM</w:t>
            </w:r>
          </w:p>
        </w:tc>
        <w:tc>
          <w:tcPr>
            <w:tcW w:w="3168" w:type="dxa"/>
            <w:tcMar>
              <w:top w:w="50" w:type="dxa"/>
              <w:left w:w="55" w:type="dxa"/>
              <w:bottom w:w="50" w:type="dxa"/>
              <w:right w:w="55" w:type="dxa"/>
            </w:tcMar>
          </w:tcPr>
          <w:p w14:paraId="55AAD2C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Identity/address verification and security freezes</w:t>
            </w:r>
          </w:p>
        </w:tc>
        <w:tc>
          <w:tcPr>
            <w:tcW w:w="3456" w:type="dxa"/>
            <w:tcMar>
              <w:top w:w="50" w:type="dxa"/>
              <w:left w:w="55" w:type="dxa"/>
              <w:bottom w:w="50" w:type="dxa"/>
              <w:right w:w="55" w:type="dxa"/>
            </w:tcMar>
          </w:tcPr>
          <w:p w14:paraId="156573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placement/lift/removal, change notices, and qualifying ICFA relief</w:t>
            </w:r>
          </w:p>
        </w:tc>
        <w:tc>
          <w:tcPr>
            <w:tcW w:w="3888" w:type="dxa"/>
            <w:tcMar>
              <w:top w:w="50" w:type="dxa"/>
              <w:left w:w="55" w:type="dxa"/>
              <w:bottom w:w="50" w:type="dxa"/>
              <w:right w:w="55" w:type="dxa"/>
            </w:tcMar>
          </w:tcPr>
          <w:p w14:paraId="701D8EE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access/release history; identity or address change records</w:t>
            </w:r>
          </w:p>
        </w:tc>
      </w:tr>
      <w:tr w:rsidR="00756B19" w:rsidRPr="00566B6A" w14:paraId="0B4F6671" w14:textId="77777777">
        <w:trPr>
          <w:cantSplit/>
          <w:jc w:val="center"/>
        </w:trPr>
        <w:tc>
          <w:tcPr>
            <w:tcW w:w="1440" w:type="dxa"/>
            <w:shd w:val="clear" w:color="auto" w:fill="F7FAFC"/>
            <w:tcMar>
              <w:top w:w="50" w:type="dxa"/>
              <w:left w:w="55" w:type="dxa"/>
              <w:bottom w:w="50" w:type="dxa"/>
              <w:right w:w="55" w:type="dxa"/>
            </w:tcMar>
          </w:tcPr>
          <w:p w14:paraId="38F89EB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34ED730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815 ILCS 530/1–50</w:t>
            </w:r>
          </w:p>
        </w:tc>
        <w:tc>
          <w:tcPr>
            <w:tcW w:w="3168" w:type="dxa"/>
            <w:shd w:val="clear" w:color="auto" w:fill="F7FAFC"/>
            <w:tcMar>
              <w:top w:w="50" w:type="dxa"/>
              <w:left w:w="55" w:type="dxa"/>
              <w:bottom w:w="50" w:type="dxa"/>
              <w:right w:w="55" w:type="dxa"/>
            </w:tcMar>
          </w:tcPr>
          <w:p w14:paraId="14619A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security, breach notice, and AG notice</w:t>
            </w:r>
          </w:p>
        </w:tc>
        <w:tc>
          <w:tcPr>
            <w:tcW w:w="3456" w:type="dxa"/>
            <w:shd w:val="clear" w:color="auto" w:fill="F7FAFC"/>
            <w:tcMar>
              <w:top w:w="50" w:type="dxa"/>
              <w:left w:w="55" w:type="dxa"/>
              <w:bottom w:w="50" w:type="dxa"/>
              <w:right w:w="55" w:type="dxa"/>
            </w:tcMar>
          </w:tcPr>
          <w:p w14:paraId="7F6CF4E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Resident/AG notice, security duties, and ICFA enforcement treatment</w:t>
            </w:r>
          </w:p>
        </w:tc>
        <w:tc>
          <w:tcPr>
            <w:tcW w:w="3888" w:type="dxa"/>
            <w:shd w:val="clear" w:color="auto" w:fill="F7FAFC"/>
            <w:tcMar>
              <w:top w:w="50" w:type="dxa"/>
              <w:left w:w="55" w:type="dxa"/>
              <w:bottom w:w="50" w:type="dxa"/>
              <w:right w:w="55" w:type="dxa"/>
            </w:tcMar>
          </w:tcPr>
          <w:p w14:paraId="11FBFE1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findings; dates; affected data; notices; security and remediation</w:t>
            </w:r>
          </w:p>
        </w:tc>
      </w:tr>
      <w:tr w:rsidR="00756B19" w:rsidRPr="00566B6A" w14:paraId="34A0B0CF" w14:textId="77777777">
        <w:trPr>
          <w:cantSplit/>
          <w:jc w:val="center"/>
        </w:trPr>
        <w:tc>
          <w:tcPr>
            <w:tcW w:w="1440" w:type="dxa"/>
            <w:tcMar>
              <w:top w:w="50" w:type="dxa"/>
              <w:left w:w="55" w:type="dxa"/>
              <w:bottom w:w="50" w:type="dxa"/>
              <w:right w:w="55" w:type="dxa"/>
            </w:tcMar>
          </w:tcPr>
          <w:p w14:paraId="0019A55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72E9AFF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720 ILCS 5/16-30; 205 ILCS 740/9.4</w:t>
            </w:r>
          </w:p>
        </w:tc>
        <w:tc>
          <w:tcPr>
            <w:tcW w:w="3168" w:type="dxa"/>
            <w:tcMar>
              <w:top w:w="50" w:type="dxa"/>
              <w:left w:w="55" w:type="dxa"/>
              <w:bottom w:w="50" w:type="dxa"/>
              <w:right w:w="55" w:type="dxa"/>
            </w:tcMar>
          </w:tcPr>
          <w:p w14:paraId="0A11302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collection-file restoration</w:t>
            </w:r>
          </w:p>
        </w:tc>
        <w:tc>
          <w:tcPr>
            <w:tcW w:w="3456" w:type="dxa"/>
            <w:tcMar>
              <w:top w:w="50" w:type="dxa"/>
              <w:left w:w="55" w:type="dxa"/>
              <w:bottom w:w="50" w:type="dxa"/>
              <w:right w:w="55" w:type="dxa"/>
            </w:tcMar>
          </w:tcPr>
          <w:p w14:paraId="507185D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collection review, cessation, and deletion request where required</w:t>
            </w:r>
          </w:p>
        </w:tc>
        <w:tc>
          <w:tcPr>
            <w:tcW w:w="3888" w:type="dxa"/>
            <w:tcMar>
              <w:top w:w="50" w:type="dxa"/>
              <w:left w:w="55" w:type="dxa"/>
              <w:bottom w:w="50" w:type="dxa"/>
              <w:right w:w="55" w:type="dxa"/>
            </w:tcMar>
          </w:tcPr>
          <w:p w14:paraId="2E274C2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collector/bureau notices; restoration trail</w:t>
            </w:r>
          </w:p>
        </w:tc>
      </w:tr>
      <w:tr w:rsidR="00756B19" w:rsidRPr="00566B6A" w14:paraId="4DF08264" w14:textId="77777777">
        <w:trPr>
          <w:cantSplit/>
          <w:jc w:val="center"/>
        </w:trPr>
        <w:tc>
          <w:tcPr>
            <w:tcW w:w="1440" w:type="dxa"/>
            <w:shd w:val="clear" w:color="auto" w:fill="F7FAFC"/>
            <w:tcMar>
              <w:top w:w="50" w:type="dxa"/>
              <w:left w:w="55" w:type="dxa"/>
              <w:bottom w:w="50" w:type="dxa"/>
              <w:right w:w="55" w:type="dxa"/>
            </w:tcMar>
          </w:tcPr>
          <w:p w14:paraId="13ABC3B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Policy</w:t>
            </w:r>
          </w:p>
        </w:tc>
        <w:tc>
          <w:tcPr>
            <w:tcW w:w="2448" w:type="dxa"/>
            <w:shd w:val="clear" w:color="auto" w:fill="F7FAFC"/>
            <w:tcMar>
              <w:top w:w="50" w:type="dxa"/>
              <w:left w:w="55" w:type="dxa"/>
              <w:bottom w:w="50" w:type="dxa"/>
              <w:right w:w="55" w:type="dxa"/>
            </w:tcMar>
          </w:tcPr>
          <w:p w14:paraId="3F8077D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Illinois AG — Consumer Protection</w:t>
            </w:r>
          </w:p>
        </w:tc>
        <w:tc>
          <w:tcPr>
            <w:tcW w:w="3168" w:type="dxa"/>
            <w:shd w:val="clear" w:color="auto" w:fill="F7FAFC"/>
            <w:tcMar>
              <w:top w:w="50" w:type="dxa"/>
              <w:left w:w="55" w:type="dxa"/>
              <w:bottom w:w="50" w:type="dxa"/>
              <w:right w:w="55" w:type="dxa"/>
            </w:tcMar>
          </w:tcPr>
          <w:p w14:paraId="3E82083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ICFA enforcement</w:t>
            </w:r>
          </w:p>
        </w:tc>
        <w:tc>
          <w:tcPr>
            <w:tcW w:w="3456" w:type="dxa"/>
            <w:shd w:val="clear" w:color="auto" w:fill="F7FAFC"/>
            <w:tcMar>
              <w:top w:w="50" w:type="dxa"/>
              <w:left w:w="55" w:type="dxa"/>
              <w:bottom w:w="50" w:type="dxa"/>
              <w:right w:w="55" w:type="dxa"/>
            </w:tcMar>
          </w:tcPr>
          <w:p w14:paraId="1D82C8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informal resolution, investigation, injunction, restitution, or enforcement</w:t>
            </w:r>
          </w:p>
        </w:tc>
        <w:tc>
          <w:tcPr>
            <w:tcW w:w="3888" w:type="dxa"/>
            <w:shd w:val="clear" w:color="auto" w:fill="F7FAFC"/>
            <w:tcMar>
              <w:top w:w="50" w:type="dxa"/>
              <w:left w:w="55" w:type="dxa"/>
              <w:bottom w:w="50" w:type="dxa"/>
              <w:right w:w="55" w:type="dxa"/>
            </w:tcMar>
          </w:tcPr>
          <w:p w14:paraId="3D46532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response; correspondence; chronology</w:t>
            </w:r>
          </w:p>
        </w:tc>
      </w:tr>
      <w:tr w:rsidR="00756B19" w:rsidRPr="00566B6A" w14:paraId="050026E4" w14:textId="77777777">
        <w:trPr>
          <w:cantSplit/>
          <w:jc w:val="center"/>
        </w:trPr>
        <w:tc>
          <w:tcPr>
            <w:tcW w:w="1440" w:type="dxa"/>
            <w:tcMar>
              <w:top w:w="50" w:type="dxa"/>
              <w:left w:w="55" w:type="dxa"/>
              <w:bottom w:w="50" w:type="dxa"/>
              <w:right w:w="55" w:type="dxa"/>
            </w:tcMar>
          </w:tcPr>
          <w:p w14:paraId="1EC708E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4AD3F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IDFPR — Financial Institutions</w:t>
            </w:r>
          </w:p>
        </w:tc>
        <w:tc>
          <w:tcPr>
            <w:tcW w:w="3168" w:type="dxa"/>
            <w:tcMar>
              <w:top w:w="50" w:type="dxa"/>
              <w:left w:w="55" w:type="dxa"/>
              <w:bottom w:w="50" w:type="dxa"/>
              <w:right w:w="55" w:type="dxa"/>
            </w:tcMar>
          </w:tcPr>
          <w:p w14:paraId="1576DE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collection agencies and debt buyers</w:t>
            </w:r>
          </w:p>
        </w:tc>
        <w:tc>
          <w:tcPr>
            <w:tcW w:w="3456" w:type="dxa"/>
            <w:tcMar>
              <w:top w:w="50" w:type="dxa"/>
              <w:left w:w="55" w:type="dxa"/>
              <w:bottom w:w="50" w:type="dxa"/>
              <w:right w:w="55" w:type="dxa"/>
            </w:tcMar>
          </w:tcPr>
          <w:p w14:paraId="0C38C0C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examination, complaint, discipline, fines, and administrative action</w:t>
            </w:r>
          </w:p>
        </w:tc>
        <w:tc>
          <w:tcPr>
            <w:tcW w:w="3888" w:type="dxa"/>
            <w:tcMar>
              <w:top w:w="50" w:type="dxa"/>
              <w:left w:w="55" w:type="dxa"/>
              <w:bottom w:w="50" w:type="dxa"/>
              <w:right w:w="55" w:type="dxa"/>
            </w:tcMar>
          </w:tcPr>
          <w:p w14:paraId="784834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assignment and account records; correspondence</w:t>
            </w:r>
          </w:p>
        </w:tc>
      </w:tr>
      <w:tr w:rsidR="00756B19" w:rsidRPr="00566B6A" w14:paraId="3FC8DDB3" w14:textId="77777777">
        <w:trPr>
          <w:cantSplit/>
          <w:jc w:val="center"/>
        </w:trPr>
        <w:tc>
          <w:tcPr>
            <w:tcW w:w="1440" w:type="dxa"/>
            <w:shd w:val="clear" w:color="auto" w:fill="F7FAFC"/>
            <w:tcMar>
              <w:top w:w="50" w:type="dxa"/>
              <w:left w:w="55" w:type="dxa"/>
              <w:bottom w:w="50" w:type="dxa"/>
              <w:right w:w="55" w:type="dxa"/>
            </w:tcMar>
          </w:tcPr>
          <w:p w14:paraId="71E0BD8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55D420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45E68EF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390797C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7355DB3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Illinois and federal frameworks</w:t>
            </w:r>
          </w:p>
        </w:tc>
      </w:tr>
      <w:tr w:rsidR="00756B19" w:rsidRPr="00566B6A" w14:paraId="68453398" w14:textId="77777777">
        <w:trPr>
          <w:jc w:val="center"/>
        </w:trPr>
        <w:tc>
          <w:tcPr>
            <w:tcW w:w="1440" w:type="dxa"/>
          </w:tcPr>
          <w:p w14:paraId="17EDDF64"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B9FBE1F"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5A4D66FA"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66747C1B"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1DC9F83E"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5376AB41" w14:textId="77777777">
        <w:trPr>
          <w:jc w:val="center"/>
        </w:trPr>
        <w:tc>
          <w:tcPr>
            <w:tcW w:w="1440" w:type="dxa"/>
          </w:tcPr>
          <w:p w14:paraId="41D93C97"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45F635B0"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117669B2"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06C19374"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4B428F0C"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48E95373" w14:textId="77777777">
        <w:trPr>
          <w:jc w:val="center"/>
        </w:trPr>
        <w:tc>
          <w:tcPr>
            <w:tcW w:w="1440" w:type="dxa"/>
          </w:tcPr>
          <w:p w14:paraId="0A94CC09"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09642C92"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630E9276"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Direct-furnisher dispute exception for identifying information, addresses, telephone </w:t>
            </w:r>
            <w:r w:rsidRPr="00566B6A">
              <w:rPr>
                <w:rFonts w:ascii="Courier New" w:hAnsi="Courier New" w:cs="Courier New"/>
                <w:sz w:val="22"/>
              </w:rPr>
              <w:lastRenderedPageBreak/>
              <w:t>numbers, and past or present employers</w:t>
            </w:r>
          </w:p>
        </w:tc>
        <w:tc>
          <w:tcPr>
            <w:tcW w:w="3456" w:type="dxa"/>
          </w:tcPr>
          <w:p w14:paraId="4115A643"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Routes the primary identifying-information dispute to the consumer reporting agency; CRA-to-furnisher duties may </w:t>
            </w:r>
            <w:r w:rsidRPr="00566B6A">
              <w:rPr>
                <w:rFonts w:ascii="Courier New" w:hAnsi="Courier New" w:cs="Courier New"/>
                <w:sz w:val="22"/>
              </w:rPr>
              <w:lastRenderedPageBreak/>
              <w:t>apply after agency notice</w:t>
            </w:r>
          </w:p>
        </w:tc>
        <w:tc>
          <w:tcPr>
            <w:tcW w:w="3888" w:type="dxa"/>
          </w:tcPr>
          <w:p w14:paraId="769839AB"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Avoid misrouting; preserve bureau submission, supporting documents, transmission record, and investigation results</w:t>
            </w:r>
          </w:p>
        </w:tc>
      </w:tr>
    </w:tbl>
    <w:p w14:paraId="3A334635"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C193A84"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Illinois (IL)</w:t>
      </w:r>
    </w:p>
    <w:p w14:paraId="4EE6BCEF"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concerns licensing and judgment consequences under the former codification; current law is 205 ILCS 740.</w:t>
      </w:r>
    </w:p>
    <w:p w14:paraId="04EAF4A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67ADA26D" w14:textId="77777777">
        <w:trPr>
          <w:cantSplit/>
          <w:tblHeader/>
          <w:jc w:val="center"/>
        </w:trPr>
        <w:tc>
          <w:tcPr>
            <w:tcW w:w="2232" w:type="dxa"/>
            <w:shd w:val="clear" w:color="auto" w:fill="D9EAF7"/>
            <w:tcMar>
              <w:top w:w="55" w:type="dxa"/>
              <w:left w:w="55" w:type="dxa"/>
              <w:bottom w:w="55" w:type="dxa"/>
              <w:right w:w="55" w:type="dxa"/>
            </w:tcMar>
            <w:vAlign w:val="center"/>
          </w:tcPr>
          <w:p w14:paraId="44B80CE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63D48F4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6C8A677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14AF5E8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26CA19E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250FAA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1341D3DA" w14:textId="77777777">
        <w:trPr>
          <w:cantSplit/>
          <w:jc w:val="center"/>
        </w:trPr>
        <w:tc>
          <w:tcPr>
            <w:tcW w:w="2232" w:type="dxa"/>
            <w:tcMar>
              <w:top w:w="50" w:type="dxa"/>
              <w:left w:w="55" w:type="dxa"/>
              <w:bottom w:w="50" w:type="dxa"/>
              <w:right w:w="55" w:type="dxa"/>
            </w:tcMar>
          </w:tcPr>
          <w:p w14:paraId="0B3D18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Avery v. State Farm Mutual Automobile Insurance Co.</w:t>
            </w:r>
          </w:p>
        </w:tc>
        <w:tc>
          <w:tcPr>
            <w:tcW w:w="1152" w:type="dxa"/>
            <w:tcMar>
              <w:top w:w="50" w:type="dxa"/>
              <w:left w:w="55" w:type="dxa"/>
              <w:bottom w:w="50" w:type="dxa"/>
              <w:right w:w="55" w:type="dxa"/>
            </w:tcMar>
          </w:tcPr>
          <w:p w14:paraId="41ED24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 Sup. Ct.</w:t>
            </w:r>
          </w:p>
        </w:tc>
        <w:tc>
          <w:tcPr>
            <w:tcW w:w="748" w:type="dxa"/>
            <w:tcMar>
              <w:top w:w="50" w:type="dxa"/>
              <w:left w:w="55" w:type="dxa"/>
              <w:bottom w:w="50" w:type="dxa"/>
              <w:right w:w="55" w:type="dxa"/>
            </w:tcMar>
          </w:tcPr>
          <w:p w14:paraId="41AB71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tcMar>
              <w:top w:w="50" w:type="dxa"/>
              <w:left w:w="55" w:type="dxa"/>
              <w:bottom w:w="50" w:type="dxa"/>
              <w:right w:w="55" w:type="dxa"/>
            </w:tcMar>
          </w:tcPr>
          <w:p w14:paraId="692A245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216 Ill. 2d 100, 835 N.E.2d 801</w:t>
            </w:r>
          </w:p>
        </w:tc>
        <w:tc>
          <w:tcPr>
            <w:tcW w:w="4536" w:type="dxa"/>
            <w:tcMar>
              <w:top w:w="50" w:type="dxa"/>
              <w:left w:w="55" w:type="dxa"/>
              <w:bottom w:w="50" w:type="dxa"/>
              <w:right w:w="55" w:type="dxa"/>
            </w:tcMar>
          </w:tcPr>
          <w:p w14:paraId="10C189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ICFA claim requires an unlawful practice, intent that others rely, trade or commerce, actual damage, and proximate causation; a deception claim requires the claimant to have been deceived in some manner.</w:t>
            </w:r>
          </w:p>
        </w:tc>
        <w:tc>
          <w:tcPr>
            <w:tcW w:w="3643" w:type="dxa"/>
            <w:tcMar>
              <w:top w:w="50" w:type="dxa"/>
              <w:left w:w="55" w:type="dxa"/>
              <w:bottom w:w="50" w:type="dxa"/>
              <w:right w:w="55" w:type="dxa"/>
            </w:tcMar>
          </w:tcPr>
          <w:p w14:paraId="6BCF85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how the claimant was deceived, transaction response, measurable loss, and causal link.</w:t>
            </w:r>
          </w:p>
        </w:tc>
      </w:tr>
      <w:tr w:rsidR="00756B19" w:rsidRPr="00566B6A" w14:paraId="0EA82413" w14:textId="77777777">
        <w:trPr>
          <w:cantSplit/>
          <w:jc w:val="center"/>
        </w:trPr>
        <w:tc>
          <w:tcPr>
            <w:tcW w:w="2232" w:type="dxa"/>
            <w:shd w:val="clear" w:color="auto" w:fill="F7FAFC"/>
            <w:tcMar>
              <w:top w:w="50" w:type="dxa"/>
              <w:left w:w="55" w:type="dxa"/>
              <w:bottom w:w="50" w:type="dxa"/>
              <w:right w:w="55" w:type="dxa"/>
            </w:tcMar>
          </w:tcPr>
          <w:p w14:paraId="5F68FCF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Robinson v. Toyota Motor Credit Corp.</w:t>
            </w:r>
          </w:p>
        </w:tc>
        <w:tc>
          <w:tcPr>
            <w:tcW w:w="1152" w:type="dxa"/>
            <w:shd w:val="clear" w:color="auto" w:fill="F7FAFC"/>
            <w:tcMar>
              <w:top w:w="50" w:type="dxa"/>
              <w:left w:w="55" w:type="dxa"/>
              <w:bottom w:w="50" w:type="dxa"/>
              <w:right w:w="55" w:type="dxa"/>
            </w:tcMar>
          </w:tcPr>
          <w:p w14:paraId="59BDF8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 Sup. Ct.</w:t>
            </w:r>
          </w:p>
        </w:tc>
        <w:tc>
          <w:tcPr>
            <w:tcW w:w="748" w:type="dxa"/>
            <w:shd w:val="clear" w:color="auto" w:fill="F7FAFC"/>
            <w:tcMar>
              <w:top w:w="50" w:type="dxa"/>
              <w:left w:w="55" w:type="dxa"/>
              <w:bottom w:w="50" w:type="dxa"/>
              <w:right w:w="55" w:type="dxa"/>
            </w:tcMar>
          </w:tcPr>
          <w:p w14:paraId="67E6019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shd w:val="clear" w:color="auto" w:fill="F7FAFC"/>
            <w:tcMar>
              <w:top w:w="50" w:type="dxa"/>
              <w:left w:w="55" w:type="dxa"/>
              <w:bottom w:w="50" w:type="dxa"/>
              <w:right w:w="55" w:type="dxa"/>
            </w:tcMar>
          </w:tcPr>
          <w:p w14:paraId="7DD860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 Ill. 2d 403, 775 N.E.2d 951</w:t>
            </w:r>
          </w:p>
        </w:tc>
        <w:tc>
          <w:tcPr>
            <w:tcW w:w="4536" w:type="dxa"/>
            <w:shd w:val="clear" w:color="auto" w:fill="F7FAFC"/>
            <w:tcMar>
              <w:top w:w="50" w:type="dxa"/>
              <w:left w:w="55" w:type="dxa"/>
              <w:bottom w:w="50" w:type="dxa"/>
              <w:right w:w="55" w:type="dxa"/>
            </w:tcMar>
          </w:tcPr>
          <w:p w14:paraId="70F88D5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Unfairness considers public policy, immoral or oppressive conduct, and substantial consumer injury. Clear lease terms and insufficient coercion or deception did not establish an ICFA violation.</w:t>
            </w:r>
          </w:p>
        </w:tc>
        <w:tc>
          <w:tcPr>
            <w:tcW w:w="3643" w:type="dxa"/>
            <w:shd w:val="clear" w:color="auto" w:fill="F7FAFC"/>
            <w:tcMar>
              <w:top w:w="50" w:type="dxa"/>
              <w:left w:w="55" w:type="dxa"/>
              <w:bottom w:w="50" w:type="dxa"/>
              <w:right w:w="55" w:type="dxa"/>
            </w:tcMar>
          </w:tcPr>
          <w:p w14:paraId="0A5234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Compare the conduct with public policy, meaningful choice, and avoidable injury; preserve the contract, disclosures, advertisements, and communications.</w:t>
            </w:r>
          </w:p>
        </w:tc>
      </w:tr>
    </w:tbl>
    <w:p w14:paraId="637CA732" w14:textId="77777777" w:rsidR="00756B19" w:rsidRPr="00566B6A" w:rsidRDefault="00756B19">
      <w:pPr>
        <w:spacing w:after="20"/>
        <w:rPr>
          <w:rFonts w:ascii="Courier New" w:hAnsi="Courier New" w:cs="Courier New"/>
          <w:sz w:val="22"/>
        </w:rPr>
      </w:pPr>
    </w:p>
    <w:p w14:paraId="40270F2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07C2908" w14:textId="77777777">
        <w:trPr>
          <w:cantSplit/>
          <w:tblHeader/>
          <w:jc w:val="center"/>
        </w:trPr>
        <w:tc>
          <w:tcPr>
            <w:tcW w:w="2232" w:type="dxa"/>
            <w:shd w:val="clear" w:color="auto" w:fill="D9EAF7"/>
            <w:tcMar>
              <w:top w:w="55" w:type="dxa"/>
              <w:left w:w="55" w:type="dxa"/>
              <w:bottom w:w="55" w:type="dxa"/>
              <w:right w:w="55" w:type="dxa"/>
            </w:tcMar>
            <w:vAlign w:val="center"/>
          </w:tcPr>
          <w:p w14:paraId="357CBA1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CFBA7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D66D37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5CCB734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0412CFC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60B9BC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667EEFD" w14:textId="77777777">
        <w:trPr>
          <w:cantSplit/>
          <w:jc w:val="center"/>
        </w:trPr>
        <w:tc>
          <w:tcPr>
            <w:tcW w:w="2232" w:type="dxa"/>
            <w:tcMar>
              <w:top w:w="50" w:type="dxa"/>
              <w:left w:w="55" w:type="dxa"/>
              <w:bottom w:w="50" w:type="dxa"/>
              <w:right w:w="55" w:type="dxa"/>
            </w:tcMar>
          </w:tcPr>
          <w:p w14:paraId="463EEB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LVNV Funding, LLC v. Trice</w:t>
            </w:r>
          </w:p>
        </w:tc>
        <w:tc>
          <w:tcPr>
            <w:tcW w:w="1152" w:type="dxa"/>
            <w:tcMar>
              <w:top w:w="50" w:type="dxa"/>
              <w:left w:w="55" w:type="dxa"/>
              <w:bottom w:w="50" w:type="dxa"/>
              <w:right w:w="55" w:type="dxa"/>
            </w:tcMar>
          </w:tcPr>
          <w:p w14:paraId="76D5C9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 Sup. Ct.</w:t>
            </w:r>
          </w:p>
        </w:tc>
        <w:tc>
          <w:tcPr>
            <w:tcW w:w="748" w:type="dxa"/>
            <w:tcMar>
              <w:top w:w="50" w:type="dxa"/>
              <w:left w:w="55" w:type="dxa"/>
              <w:bottom w:w="50" w:type="dxa"/>
              <w:right w:w="55" w:type="dxa"/>
            </w:tcMar>
          </w:tcPr>
          <w:p w14:paraId="0293CC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7B0F3AF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 IL 116129, 32 N.E.3d 553</w:t>
            </w:r>
          </w:p>
        </w:tc>
        <w:tc>
          <w:tcPr>
            <w:tcW w:w="4536" w:type="dxa"/>
            <w:tcMar>
              <w:top w:w="50" w:type="dxa"/>
              <w:left w:w="55" w:type="dxa"/>
              <w:bottom w:w="50" w:type="dxa"/>
              <w:right w:w="55" w:type="dxa"/>
            </w:tcMar>
          </w:tcPr>
          <w:p w14:paraId="12560AC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debt buyer was subject to Collection Agency Act licensing, but an unlicensed filing did not deprive the circuit court of jurisdiction or automatically make the judgment void.</w:t>
            </w:r>
          </w:p>
        </w:tc>
        <w:tc>
          <w:tcPr>
            <w:tcW w:w="3643" w:type="dxa"/>
            <w:tcMar>
              <w:top w:w="50" w:type="dxa"/>
              <w:left w:w="55" w:type="dxa"/>
              <w:bottom w:w="50" w:type="dxa"/>
              <w:right w:w="55" w:type="dxa"/>
            </w:tcMar>
          </w:tcPr>
          <w:p w14:paraId="09E80D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license and debt-buyer status, assignment, account records, limitations, and available remedies; do not assume automatic voidness.</w:t>
            </w:r>
          </w:p>
        </w:tc>
      </w:tr>
    </w:tbl>
    <w:p w14:paraId="7C481960" w14:textId="77777777" w:rsidR="00756B19" w:rsidRPr="00566B6A" w:rsidRDefault="00756B19">
      <w:pPr>
        <w:spacing w:after="20"/>
        <w:rPr>
          <w:rFonts w:ascii="Courier New" w:hAnsi="Courier New" w:cs="Courier New"/>
          <w:sz w:val="22"/>
        </w:rPr>
      </w:pPr>
    </w:p>
    <w:p w14:paraId="750284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60EABBE0" w14:textId="77777777">
        <w:trPr>
          <w:cantSplit/>
          <w:tblHeader/>
          <w:jc w:val="center"/>
        </w:trPr>
        <w:tc>
          <w:tcPr>
            <w:tcW w:w="2232" w:type="dxa"/>
            <w:shd w:val="clear" w:color="auto" w:fill="D9EAF7"/>
            <w:tcMar>
              <w:top w:w="55" w:type="dxa"/>
              <w:left w:w="55" w:type="dxa"/>
              <w:bottom w:w="55" w:type="dxa"/>
              <w:right w:w="55" w:type="dxa"/>
            </w:tcMar>
            <w:vAlign w:val="center"/>
          </w:tcPr>
          <w:p w14:paraId="7C99F40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932C49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6BABF8C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F736E5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4A5CD24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65FAC88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69CFED97" w14:textId="77777777">
        <w:trPr>
          <w:cantSplit/>
          <w:jc w:val="center"/>
        </w:trPr>
        <w:tc>
          <w:tcPr>
            <w:tcW w:w="2232" w:type="dxa"/>
            <w:tcMar>
              <w:top w:w="50" w:type="dxa"/>
              <w:left w:w="55" w:type="dxa"/>
              <w:bottom w:w="50" w:type="dxa"/>
              <w:right w:w="55" w:type="dxa"/>
            </w:tcMar>
          </w:tcPr>
          <w:p w14:paraId="2836775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Avery v. State Farm Mutual Automobile Insurance Co.</w:t>
            </w:r>
          </w:p>
        </w:tc>
        <w:tc>
          <w:tcPr>
            <w:tcW w:w="1152" w:type="dxa"/>
            <w:tcMar>
              <w:top w:w="50" w:type="dxa"/>
              <w:left w:w="55" w:type="dxa"/>
              <w:bottom w:w="50" w:type="dxa"/>
              <w:right w:w="55" w:type="dxa"/>
            </w:tcMar>
          </w:tcPr>
          <w:p w14:paraId="4C8DE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 Sup. Ct.</w:t>
            </w:r>
          </w:p>
        </w:tc>
        <w:tc>
          <w:tcPr>
            <w:tcW w:w="748" w:type="dxa"/>
            <w:tcMar>
              <w:top w:w="50" w:type="dxa"/>
              <w:left w:w="55" w:type="dxa"/>
              <w:bottom w:w="50" w:type="dxa"/>
              <w:right w:w="55" w:type="dxa"/>
            </w:tcMar>
          </w:tcPr>
          <w:p w14:paraId="7C23E4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tcMar>
              <w:top w:w="50" w:type="dxa"/>
              <w:left w:w="55" w:type="dxa"/>
              <w:bottom w:w="50" w:type="dxa"/>
              <w:right w:w="55" w:type="dxa"/>
            </w:tcMar>
          </w:tcPr>
          <w:p w14:paraId="0802D58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216 Ill. 2d 100, 835 N.E.2d 801</w:t>
            </w:r>
          </w:p>
        </w:tc>
        <w:tc>
          <w:tcPr>
            <w:tcW w:w="4536" w:type="dxa"/>
            <w:tcMar>
              <w:top w:w="50" w:type="dxa"/>
              <w:left w:w="55" w:type="dxa"/>
              <w:bottom w:w="50" w:type="dxa"/>
              <w:right w:w="55" w:type="dxa"/>
            </w:tcMar>
          </w:tcPr>
          <w:p w14:paraId="6FC759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ICFA claim requires an unlawful practice, intent that others rely, trade or commerce, actual damage, and proximate causation; a deception claim requires the claimant to have been deceived in some manner.</w:t>
            </w:r>
          </w:p>
        </w:tc>
        <w:tc>
          <w:tcPr>
            <w:tcW w:w="3643" w:type="dxa"/>
            <w:tcMar>
              <w:top w:w="50" w:type="dxa"/>
              <w:left w:w="55" w:type="dxa"/>
              <w:bottom w:w="50" w:type="dxa"/>
              <w:right w:w="55" w:type="dxa"/>
            </w:tcMar>
          </w:tcPr>
          <w:p w14:paraId="4DB668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how the claimant was deceived, transaction response, measurable loss, and causal link.</w:t>
            </w:r>
          </w:p>
        </w:tc>
      </w:tr>
      <w:tr w:rsidR="00756B19" w:rsidRPr="00566B6A" w14:paraId="5F2F6E7F" w14:textId="77777777">
        <w:trPr>
          <w:cantSplit/>
          <w:jc w:val="center"/>
        </w:trPr>
        <w:tc>
          <w:tcPr>
            <w:tcW w:w="2232" w:type="dxa"/>
            <w:shd w:val="clear" w:color="auto" w:fill="F7FAFC"/>
            <w:tcMar>
              <w:top w:w="50" w:type="dxa"/>
              <w:left w:w="55" w:type="dxa"/>
              <w:bottom w:w="50" w:type="dxa"/>
              <w:right w:w="55" w:type="dxa"/>
            </w:tcMar>
          </w:tcPr>
          <w:p w14:paraId="68DAA0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Robinson v. Toyota Motor Credit Corp.</w:t>
            </w:r>
          </w:p>
        </w:tc>
        <w:tc>
          <w:tcPr>
            <w:tcW w:w="1152" w:type="dxa"/>
            <w:shd w:val="clear" w:color="auto" w:fill="F7FAFC"/>
            <w:tcMar>
              <w:top w:w="50" w:type="dxa"/>
              <w:left w:w="55" w:type="dxa"/>
              <w:bottom w:w="50" w:type="dxa"/>
              <w:right w:w="55" w:type="dxa"/>
            </w:tcMar>
          </w:tcPr>
          <w:p w14:paraId="2640EFB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 Sup. Ct.</w:t>
            </w:r>
          </w:p>
        </w:tc>
        <w:tc>
          <w:tcPr>
            <w:tcW w:w="748" w:type="dxa"/>
            <w:shd w:val="clear" w:color="auto" w:fill="F7FAFC"/>
            <w:tcMar>
              <w:top w:w="50" w:type="dxa"/>
              <w:left w:w="55" w:type="dxa"/>
              <w:bottom w:w="50" w:type="dxa"/>
              <w:right w:w="55" w:type="dxa"/>
            </w:tcMar>
          </w:tcPr>
          <w:p w14:paraId="243A016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shd w:val="clear" w:color="auto" w:fill="F7FAFC"/>
            <w:tcMar>
              <w:top w:w="50" w:type="dxa"/>
              <w:left w:w="55" w:type="dxa"/>
              <w:bottom w:w="50" w:type="dxa"/>
              <w:right w:w="55" w:type="dxa"/>
            </w:tcMar>
          </w:tcPr>
          <w:p w14:paraId="60537F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 Ill. 2d 403, 775 N.E.2d 951</w:t>
            </w:r>
          </w:p>
        </w:tc>
        <w:tc>
          <w:tcPr>
            <w:tcW w:w="4536" w:type="dxa"/>
            <w:shd w:val="clear" w:color="auto" w:fill="F7FAFC"/>
            <w:tcMar>
              <w:top w:w="50" w:type="dxa"/>
              <w:left w:w="55" w:type="dxa"/>
              <w:bottom w:w="50" w:type="dxa"/>
              <w:right w:w="55" w:type="dxa"/>
            </w:tcMar>
          </w:tcPr>
          <w:p w14:paraId="7E5FF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Unfairness considers public policy, immoral or oppressive conduct, and substantial consumer injury. Clear lease terms and insufficient coercion or deception did not establish an ICFA violation.</w:t>
            </w:r>
          </w:p>
        </w:tc>
        <w:tc>
          <w:tcPr>
            <w:tcW w:w="3643" w:type="dxa"/>
            <w:shd w:val="clear" w:color="auto" w:fill="F7FAFC"/>
            <w:tcMar>
              <w:top w:w="50" w:type="dxa"/>
              <w:left w:w="55" w:type="dxa"/>
              <w:bottom w:w="50" w:type="dxa"/>
              <w:right w:w="55" w:type="dxa"/>
            </w:tcMar>
          </w:tcPr>
          <w:p w14:paraId="43DF0E2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Compare the conduct with public policy, meaningful choice, and avoidable injury; preserve the contract, disclosures, advertisements, and communications.</w:t>
            </w:r>
          </w:p>
        </w:tc>
      </w:tr>
      <w:tr w:rsidR="00756B19" w:rsidRPr="00566B6A" w14:paraId="6D8E1EB4" w14:textId="77777777">
        <w:trPr>
          <w:cantSplit/>
          <w:jc w:val="center"/>
        </w:trPr>
        <w:tc>
          <w:tcPr>
            <w:tcW w:w="2232" w:type="dxa"/>
            <w:tcMar>
              <w:top w:w="50" w:type="dxa"/>
              <w:left w:w="55" w:type="dxa"/>
              <w:bottom w:w="50" w:type="dxa"/>
              <w:right w:w="55" w:type="dxa"/>
            </w:tcMar>
          </w:tcPr>
          <w:p w14:paraId="39AEE7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LVNV Funding, LLC v. Trice</w:t>
            </w:r>
          </w:p>
        </w:tc>
        <w:tc>
          <w:tcPr>
            <w:tcW w:w="1152" w:type="dxa"/>
            <w:tcMar>
              <w:top w:w="50" w:type="dxa"/>
              <w:left w:w="55" w:type="dxa"/>
              <w:bottom w:w="50" w:type="dxa"/>
              <w:right w:w="55" w:type="dxa"/>
            </w:tcMar>
          </w:tcPr>
          <w:p w14:paraId="05E229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 Sup. Ct.</w:t>
            </w:r>
          </w:p>
        </w:tc>
        <w:tc>
          <w:tcPr>
            <w:tcW w:w="748" w:type="dxa"/>
            <w:tcMar>
              <w:top w:w="50" w:type="dxa"/>
              <w:left w:w="55" w:type="dxa"/>
              <w:bottom w:w="50" w:type="dxa"/>
              <w:right w:w="55" w:type="dxa"/>
            </w:tcMar>
          </w:tcPr>
          <w:p w14:paraId="505ED6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614BBC3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 IL 116129, 32 N.E.3d 553</w:t>
            </w:r>
          </w:p>
        </w:tc>
        <w:tc>
          <w:tcPr>
            <w:tcW w:w="4536" w:type="dxa"/>
            <w:tcMar>
              <w:top w:w="50" w:type="dxa"/>
              <w:left w:w="55" w:type="dxa"/>
              <w:bottom w:w="50" w:type="dxa"/>
              <w:right w:w="55" w:type="dxa"/>
            </w:tcMar>
          </w:tcPr>
          <w:p w14:paraId="318150F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debt buyer was subject to Collection Agency Act licensing, but an unlicensed filing did not deprive the circuit court of jurisdiction or automatically make the judgment void.</w:t>
            </w:r>
          </w:p>
        </w:tc>
        <w:tc>
          <w:tcPr>
            <w:tcW w:w="3643" w:type="dxa"/>
            <w:tcMar>
              <w:top w:w="50" w:type="dxa"/>
              <w:left w:w="55" w:type="dxa"/>
              <w:bottom w:w="50" w:type="dxa"/>
              <w:right w:w="55" w:type="dxa"/>
            </w:tcMar>
          </w:tcPr>
          <w:p w14:paraId="490C07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license and debt-buyer status, assignment, account records, limitations, and available remedies; do not assume automatic voidness.</w:t>
            </w:r>
          </w:p>
        </w:tc>
      </w:tr>
    </w:tbl>
    <w:p w14:paraId="003CD076" w14:textId="77777777" w:rsidR="00756B19" w:rsidRPr="00566B6A" w:rsidRDefault="00756B19">
      <w:pPr>
        <w:spacing w:after="20"/>
        <w:rPr>
          <w:rFonts w:ascii="Courier New" w:hAnsi="Courier New" w:cs="Courier New"/>
          <w:sz w:val="22"/>
        </w:rPr>
      </w:pPr>
    </w:p>
    <w:p w14:paraId="3815F617"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3D8EA52D"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246388E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198748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75FA0BFF"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 processing, and reporting. Parallel Illinois theories may be preemption-sensitive.</w:t>
      </w:r>
    </w:p>
    <w:p w14:paraId="14AB28BB" w14:textId="77777777" w:rsidR="00964317" w:rsidRPr="00566B6A" w:rsidRDefault="00964317">
      <w:pPr>
        <w:spacing w:after="60"/>
        <w:rPr>
          <w:rFonts w:ascii="Courier New" w:hAnsi="Courier New" w:cs="Courier New"/>
          <w:sz w:val="22"/>
        </w:rPr>
      </w:pPr>
    </w:p>
    <w:p w14:paraId="0546416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FAE0BC6" w14:textId="77777777">
        <w:trPr>
          <w:cantSplit/>
          <w:tblHeader/>
          <w:jc w:val="center"/>
        </w:trPr>
        <w:tc>
          <w:tcPr>
            <w:tcW w:w="2232" w:type="dxa"/>
            <w:shd w:val="clear" w:color="auto" w:fill="D9EAF7"/>
            <w:tcMar>
              <w:top w:w="55" w:type="dxa"/>
              <w:left w:w="55" w:type="dxa"/>
              <w:bottom w:w="55" w:type="dxa"/>
              <w:right w:w="55" w:type="dxa"/>
            </w:tcMar>
            <w:vAlign w:val="center"/>
          </w:tcPr>
          <w:p w14:paraId="73482AD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329F6D5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Illinois Authority</w:t>
            </w:r>
          </w:p>
        </w:tc>
        <w:tc>
          <w:tcPr>
            <w:tcW w:w="1080" w:type="dxa"/>
            <w:shd w:val="clear" w:color="auto" w:fill="D9EAF7"/>
            <w:tcMar>
              <w:top w:w="55" w:type="dxa"/>
              <w:left w:w="55" w:type="dxa"/>
              <w:bottom w:w="55" w:type="dxa"/>
              <w:right w:w="55" w:type="dxa"/>
            </w:tcMar>
            <w:vAlign w:val="center"/>
          </w:tcPr>
          <w:p w14:paraId="29318AB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6CA3D44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6414091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3D077DFE" w14:textId="77777777">
        <w:trPr>
          <w:cantSplit/>
          <w:jc w:val="center"/>
        </w:trPr>
        <w:tc>
          <w:tcPr>
            <w:tcW w:w="2232" w:type="dxa"/>
            <w:tcMar>
              <w:top w:w="50" w:type="dxa"/>
              <w:left w:w="55" w:type="dxa"/>
              <w:bottom w:w="50" w:type="dxa"/>
              <w:right w:w="55" w:type="dxa"/>
            </w:tcMar>
          </w:tcPr>
          <w:p w14:paraId="0306A9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31982C6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Illinois mini-FCRA; § 2MM addresses freezes</w:t>
            </w:r>
          </w:p>
        </w:tc>
        <w:tc>
          <w:tcPr>
            <w:tcW w:w="1080" w:type="dxa"/>
            <w:tcMar>
              <w:top w:w="50" w:type="dxa"/>
              <w:left w:w="55" w:type="dxa"/>
              <w:bottom w:w="50" w:type="dxa"/>
              <w:right w:w="55" w:type="dxa"/>
            </w:tcMar>
          </w:tcPr>
          <w:p w14:paraId="35EC6D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A2038F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5136C3E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dispute/MOV records; avoid unsupported parallel Illinois accuracy duties.</w:t>
            </w:r>
          </w:p>
        </w:tc>
      </w:tr>
      <w:tr w:rsidR="00756B19" w:rsidRPr="00566B6A" w14:paraId="01420A48" w14:textId="77777777">
        <w:trPr>
          <w:cantSplit/>
          <w:jc w:val="center"/>
        </w:trPr>
        <w:tc>
          <w:tcPr>
            <w:tcW w:w="2232" w:type="dxa"/>
            <w:shd w:val="clear" w:color="auto" w:fill="F7FAFC"/>
            <w:tcMar>
              <w:top w:w="50" w:type="dxa"/>
              <w:left w:w="55" w:type="dxa"/>
              <w:bottom w:w="50" w:type="dxa"/>
              <w:right w:w="55" w:type="dxa"/>
            </w:tcMar>
          </w:tcPr>
          <w:p w14:paraId="63794E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3FCF98B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Illinois law for distinct conduct only</w:t>
            </w:r>
          </w:p>
        </w:tc>
        <w:tc>
          <w:tcPr>
            <w:tcW w:w="1080" w:type="dxa"/>
            <w:shd w:val="clear" w:color="auto" w:fill="F7FAFC"/>
            <w:tcMar>
              <w:top w:w="50" w:type="dxa"/>
              <w:left w:w="55" w:type="dxa"/>
              <w:bottom w:w="50" w:type="dxa"/>
              <w:right w:w="55" w:type="dxa"/>
            </w:tcMar>
          </w:tcPr>
          <w:p w14:paraId="1A2239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2E17576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8108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preserve the bureau-dispute notice trail.</w:t>
            </w:r>
          </w:p>
        </w:tc>
      </w:tr>
      <w:tr w:rsidR="00756B19" w:rsidRPr="00566B6A" w14:paraId="1290302B" w14:textId="77777777">
        <w:trPr>
          <w:cantSplit/>
          <w:jc w:val="center"/>
        </w:trPr>
        <w:tc>
          <w:tcPr>
            <w:tcW w:w="2232" w:type="dxa"/>
            <w:tcMar>
              <w:top w:w="50" w:type="dxa"/>
              <w:left w:w="55" w:type="dxa"/>
              <w:bottom w:w="50" w:type="dxa"/>
              <w:right w:w="55" w:type="dxa"/>
            </w:tcMar>
          </w:tcPr>
          <w:p w14:paraId="5D912D1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257CC4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720 ILCS 5/16-30; 205 ILCS 740/9.4; FCRA</w:t>
            </w:r>
          </w:p>
        </w:tc>
        <w:tc>
          <w:tcPr>
            <w:tcW w:w="1080" w:type="dxa"/>
            <w:tcMar>
              <w:top w:w="50" w:type="dxa"/>
              <w:left w:w="55" w:type="dxa"/>
              <w:bottom w:w="50" w:type="dxa"/>
              <w:right w:w="55" w:type="dxa"/>
            </w:tcMar>
          </w:tcPr>
          <w:p w14:paraId="3E817C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89F9A7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F607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police/FTC reports, disputed items, collector/CRA submissions, notices, and decisions.</w:t>
            </w:r>
          </w:p>
        </w:tc>
      </w:tr>
      <w:tr w:rsidR="00756B19" w:rsidRPr="00566B6A" w14:paraId="4604F084" w14:textId="77777777">
        <w:trPr>
          <w:cantSplit/>
          <w:jc w:val="center"/>
        </w:trPr>
        <w:tc>
          <w:tcPr>
            <w:tcW w:w="2232" w:type="dxa"/>
            <w:shd w:val="clear" w:color="auto" w:fill="F7FAFC"/>
            <w:tcMar>
              <w:top w:w="50" w:type="dxa"/>
              <w:left w:w="55" w:type="dxa"/>
              <w:bottom w:w="50" w:type="dxa"/>
              <w:right w:w="55" w:type="dxa"/>
            </w:tcMar>
          </w:tcPr>
          <w:p w14:paraId="40949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136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205 ILCS 740; federal FDCPA</w:t>
            </w:r>
          </w:p>
        </w:tc>
        <w:tc>
          <w:tcPr>
            <w:tcW w:w="1080" w:type="dxa"/>
            <w:shd w:val="clear" w:color="auto" w:fill="F7FAFC"/>
            <w:tcMar>
              <w:top w:w="50" w:type="dxa"/>
              <w:left w:w="55" w:type="dxa"/>
              <w:bottom w:w="50" w:type="dxa"/>
              <w:right w:w="55" w:type="dxa"/>
            </w:tcMar>
          </w:tcPr>
          <w:p w14:paraId="75512E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466F65C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3AA0CDD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actor/license; preserve validation, communications, disputes, assignment, charges, and account records.</w:t>
            </w:r>
          </w:p>
        </w:tc>
      </w:tr>
      <w:tr w:rsidR="00756B19" w:rsidRPr="00566B6A" w14:paraId="1333A570" w14:textId="77777777">
        <w:trPr>
          <w:cantSplit/>
          <w:jc w:val="center"/>
        </w:trPr>
        <w:tc>
          <w:tcPr>
            <w:tcW w:w="2232" w:type="dxa"/>
            <w:tcMar>
              <w:top w:w="50" w:type="dxa"/>
              <w:left w:w="55" w:type="dxa"/>
              <w:bottom w:w="50" w:type="dxa"/>
              <w:right w:w="55" w:type="dxa"/>
            </w:tcMar>
          </w:tcPr>
          <w:p w14:paraId="468BE2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7F6ECE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815 ILCS 505/2MM</w:t>
            </w:r>
          </w:p>
        </w:tc>
        <w:tc>
          <w:tcPr>
            <w:tcW w:w="1080" w:type="dxa"/>
            <w:tcMar>
              <w:top w:w="50" w:type="dxa"/>
              <w:left w:w="55" w:type="dxa"/>
              <w:bottom w:w="50" w:type="dxa"/>
              <w:right w:w="55" w:type="dxa"/>
            </w:tcMar>
          </w:tcPr>
          <w:p w14:paraId="58EA50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301C38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45BD88B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change notices, lift/removal requests, and harm.</w:t>
            </w:r>
          </w:p>
        </w:tc>
      </w:tr>
      <w:tr w:rsidR="00756B19" w:rsidRPr="00566B6A" w14:paraId="43562BA7" w14:textId="77777777">
        <w:trPr>
          <w:cantSplit/>
          <w:jc w:val="center"/>
        </w:trPr>
        <w:tc>
          <w:tcPr>
            <w:tcW w:w="2232" w:type="dxa"/>
            <w:shd w:val="clear" w:color="auto" w:fill="F7FAFC"/>
            <w:tcMar>
              <w:top w:w="50" w:type="dxa"/>
              <w:left w:w="55" w:type="dxa"/>
              <w:bottom w:w="50" w:type="dxa"/>
              <w:right w:w="55" w:type="dxa"/>
            </w:tcMar>
          </w:tcPr>
          <w:p w14:paraId="3F5E66F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23A020A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815 ILCS 530/1–50</w:t>
            </w:r>
          </w:p>
        </w:tc>
        <w:tc>
          <w:tcPr>
            <w:tcW w:w="1080" w:type="dxa"/>
            <w:shd w:val="clear" w:color="auto" w:fill="F7FAFC"/>
            <w:tcMar>
              <w:top w:w="50" w:type="dxa"/>
              <w:left w:w="55" w:type="dxa"/>
              <w:bottom w:w="50" w:type="dxa"/>
              <w:right w:w="55" w:type="dxa"/>
            </w:tcMar>
          </w:tcPr>
          <w:p w14:paraId="5111EFE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382E2C9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E71805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findings, affected data, resident/AG notices, dates, security measures, and remediation.</w:t>
            </w:r>
          </w:p>
        </w:tc>
      </w:tr>
      <w:tr w:rsidR="00756B19" w:rsidRPr="00566B6A" w14:paraId="4AC5FB3D" w14:textId="77777777">
        <w:trPr>
          <w:cantSplit/>
          <w:jc w:val="center"/>
        </w:trPr>
        <w:tc>
          <w:tcPr>
            <w:tcW w:w="2232" w:type="dxa"/>
            <w:tcMar>
              <w:top w:w="50" w:type="dxa"/>
              <w:left w:w="55" w:type="dxa"/>
              <w:bottom w:w="50" w:type="dxa"/>
              <w:right w:w="55" w:type="dxa"/>
            </w:tcMar>
          </w:tcPr>
          <w:p w14:paraId="5BD584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294A073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ICFA, 815 ILCS 505/1–12</w:t>
            </w:r>
          </w:p>
        </w:tc>
        <w:tc>
          <w:tcPr>
            <w:tcW w:w="1080" w:type="dxa"/>
            <w:tcMar>
              <w:top w:w="50" w:type="dxa"/>
              <w:left w:w="55" w:type="dxa"/>
              <w:bottom w:w="50" w:type="dxa"/>
              <w:right w:w="55" w:type="dxa"/>
            </w:tcMar>
          </w:tcPr>
          <w:p w14:paraId="18045A9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7A1546B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D47138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the practice, intent, actual damage, causation, remedy, and three-year timing.</w:t>
            </w:r>
          </w:p>
        </w:tc>
      </w:tr>
    </w:tbl>
    <w:p w14:paraId="28442608" w14:textId="77777777" w:rsidR="00756B19" w:rsidRPr="00566B6A" w:rsidRDefault="00756B19">
      <w:pPr>
        <w:spacing w:after="20"/>
        <w:rPr>
          <w:rFonts w:ascii="Courier New" w:hAnsi="Courier New" w:cs="Courier New"/>
          <w:sz w:val="22"/>
        </w:rPr>
      </w:pPr>
    </w:p>
    <w:p w14:paraId="5973D6B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Safer zones (generally):</w:t>
      </w:r>
      <w:r w:rsidRPr="00566B6A">
        <w:rPr>
          <w:rFonts w:ascii="Courier New" w:hAnsi="Courier New" w:cs="Courier New"/>
          <w:sz w:val="22"/>
        </w:rPr>
        <w:t xml:space="preserve"> identity theft, distinct collection communications, licensing or validation violations, freezes, breach duties, and ICFA conduct separate from CRA or furnisher reporting.</w:t>
      </w:r>
    </w:p>
    <w:p w14:paraId="4C006A0B"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Illinois claims imposing duties parallel to the FCRA without preserved state authority or factually distinct conduct.</w:t>
      </w:r>
    </w:p>
    <w:p w14:paraId="46F0F9BE"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25A9CE62"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7E5F4FB4"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29819EE2"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6CB90C8E"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1223963B"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7A47059C"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with the Illinois Attorney General or IDFPR as jurisdiction requires; retain confirmation numbers and copies.</w:t>
      </w:r>
    </w:p>
    <w:p w14:paraId="11AF2A03"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07EB5DC8"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B7966F8"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2B702378" w14:textId="77777777" w:rsidR="00964317" w:rsidRPr="00566B6A" w:rsidRDefault="00964317">
      <w:pPr>
        <w:ind w:left="72"/>
        <w:rPr>
          <w:rFonts w:ascii="Courier New" w:hAnsi="Courier New" w:cs="Courier New"/>
          <w:sz w:val="22"/>
        </w:rPr>
      </w:pPr>
    </w:p>
    <w:p w14:paraId="080D7150"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06C0BED1"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74D412BD" w14:textId="77777777">
        <w:trPr>
          <w:cantSplit/>
          <w:tblHeader/>
          <w:jc w:val="center"/>
        </w:trPr>
        <w:tc>
          <w:tcPr>
            <w:tcW w:w="6048" w:type="dxa"/>
            <w:shd w:val="clear" w:color="auto" w:fill="D9EAF7"/>
            <w:tcMar>
              <w:top w:w="55" w:type="dxa"/>
              <w:left w:w="55" w:type="dxa"/>
              <w:bottom w:w="55" w:type="dxa"/>
              <w:right w:w="55" w:type="dxa"/>
            </w:tcMar>
            <w:vAlign w:val="center"/>
          </w:tcPr>
          <w:p w14:paraId="2B65069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DBB48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0BB86D5A" w14:textId="77777777">
        <w:trPr>
          <w:cantSplit/>
          <w:jc w:val="center"/>
        </w:trPr>
        <w:tc>
          <w:tcPr>
            <w:tcW w:w="6048" w:type="dxa"/>
            <w:tcMar>
              <w:top w:w="50" w:type="dxa"/>
              <w:left w:w="55" w:type="dxa"/>
              <w:bottom w:w="50" w:type="dxa"/>
              <w:right w:w="55" w:type="dxa"/>
            </w:tcMar>
          </w:tcPr>
          <w:p w14:paraId="06DFD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59337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2CB6524" w14:textId="77777777">
        <w:trPr>
          <w:cantSplit/>
          <w:jc w:val="center"/>
        </w:trPr>
        <w:tc>
          <w:tcPr>
            <w:tcW w:w="6048" w:type="dxa"/>
            <w:shd w:val="clear" w:color="auto" w:fill="F7FAFC"/>
            <w:tcMar>
              <w:top w:w="50" w:type="dxa"/>
              <w:left w:w="55" w:type="dxa"/>
              <w:bottom w:w="50" w:type="dxa"/>
              <w:right w:w="55" w:type="dxa"/>
            </w:tcMar>
          </w:tcPr>
          <w:p w14:paraId="3D47CB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0653AA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347159EF" w14:textId="77777777">
        <w:trPr>
          <w:cantSplit/>
          <w:jc w:val="center"/>
        </w:trPr>
        <w:tc>
          <w:tcPr>
            <w:tcW w:w="6048" w:type="dxa"/>
            <w:tcMar>
              <w:top w:w="50" w:type="dxa"/>
              <w:left w:w="55" w:type="dxa"/>
              <w:bottom w:w="50" w:type="dxa"/>
              <w:right w:w="55" w:type="dxa"/>
            </w:tcMar>
          </w:tcPr>
          <w:p w14:paraId="5FF3EF8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2C397CB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91C572F" w14:textId="77777777">
        <w:trPr>
          <w:cantSplit/>
          <w:jc w:val="center"/>
        </w:trPr>
        <w:tc>
          <w:tcPr>
            <w:tcW w:w="6048" w:type="dxa"/>
            <w:shd w:val="clear" w:color="auto" w:fill="F7FAFC"/>
            <w:tcMar>
              <w:top w:w="50" w:type="dxa"/>
              <w:left w:w="55" w:type="dxa"/>
              <w:bottom w:w="50" w:type="dxa"/>
              <w:right w:w="55" w:type="dxa"/>
            </w:tcMar>
          </w:tcPr>
          <w:p w14:paraId="7B93F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Illinois AG / IDFPR complaint + agency ID</w:t>
            </w:r>
          </w:p>
        </w:tc>
        <w:tc>
          <w:tcPr>
            <w:tcW w:w="8352" w:type="dxa"/>
            <w:shd w:val="clear" w:color="auto" w:fill="F7FAFC"/>
            <w:tcMar>
              <w:top w:w="50" w:type="dxa"/>
              <w:left w:w="55" w:type="dxa"/>
              <w:bottom w:w="50" w:type="dxa"/>
              <w:right w:w="55" w:type="dxa"/>
            </w:tcMar>
          </w:tcPr>
          <w:p w14:paraId="75BE85B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71A47C86" w14:textId="77777777">
        <w:trPr>
          <w:cantSplit/>
          <w:jc w:val="center"/>
        </w:trPr>
        <w:tc>
          <w:tcPr>
            <w:tcW w:w="6048" w:type="dxa"/>
            <w:tcMar>
              <w:top w:w="50" w:type="dxa"/>
              <w:left w:w="55" w:type="dxa"/>
              <w:bottom w:w="50" w:type="dxa"/>
              <w:right w:w="55" w:type="dxa"/>
            </w:tcMar>
          </w:tcPr>
          <w:p w14:paraId="3F49653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Identity-theft affidavit + police/FTC report</w:t>
            </w:r>
          </w:p>
        </w:tc>
        <w:tc>
          <w:tcPr>
            <w:tcW w:w="8352" w:type="dxa"/>
            <w:tcMar>
              <w:top w:w="50" w:type="dxa"/>
              <w:left w:w="55" w:type="dxa"/>
              <w:bottom w:w="50" w:type="dxa"/>
              <w:right w:w="55" w:type="dxa"/>
            </w:tcMar>
          </w:tcPr>
          <w:p w14:paraId="7DBDB3B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97777B6" w14:textId="77777777">
        <w:trPr>
          <w:cantSplit/>
          <w:jc w:val="center"/>
        </w:trPr>
        <w:tc>
          <w:tcPr>
            <w:tcW w:w="6048" w:type="dxa"/>
            <w:shd w:val="clear" w:color="auto" w:fill="F7FAFC"/>
            <w:tcMar>
              <w:top w:w="50" w:type="dxa"/>
              <w:left w:w="55" w:type="dxa"/>
              <w:bottom w:w="50" w:type="dxa"/>
              <w:right w:w="55" w:type="dxa"/>
            </w:tcMar>
          </w:tcPr>
          <w:p w14:paraId="4E4A030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0864435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7B6330D5" w14:textId="77777777">
        <w:trPr>
          <w:cantSplit/>
          <w:jc w:val="center"/>
        </w:trPr>
        <w:tc>
          <w:tcPr>
            <w:tcW w:w="6048" w:type="dxa"/>
            <w:tcMar>
              <w:top w:w="50" w:type="dxa"/>
              <w:left w:w="55" w:type="dxa"/>
              <w:bottom w:w="50" w:type="dxa"/>
              <w:right w:w="55" w:type="dxa"/>
            </w:tcMar>
          </w:tcPr>
          <w:p w14:paraId="473829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ICFA practice, actual-damage, causation, and remedy evidence</w:t>
            </w:r>
          </w:p>
        </w:tc>
        <w:tc>
          <w:tcPr>
            <w:tcW w:w="8352" w:type="dxa"/>
            <w:tcMar>
              <w:top w:w="50" w:type="dxa"/>
              <w:left w:w="55" w:type="dxa"/>
              <w:bottom w:w="50" w:type="dxa"/>
              <w:right w:w="55" w:type="dxa"/>
            </w:tcMar>
          </w:tcPr>
          <w:p w14:paraId="5091908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Unlawful practice, intent, trade/commerce, actual damage, causation, remedy, and three-year timing</w:t>
            </w:r>
          </w:p>
        </w:tc>
      </w:tr>
    </w:tbl>
    <w:p w14:paraId="275563C0" w14:textId="77777777" w:rsidR="00756B19" w:rsidRPr="00566B6A" w:rsidRDefault="00756B19">
      <w:pPr>
        <w:spacing w:after="20"/>
        <w:rPr>
          <w:rFonts w:ascii="Courier New" w:hAnsi="Courier New" w:cs="Courier New"/>
          <w:sz w:val="22"/>
        </w:rPr>
      </w:pPr>
    </w:p>
    <w:p w14:paraId="11E086B5"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6D9C8BF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29B1939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1C78B9A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5E76869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417448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0BAC9C7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Illinois ICFA practice, actual-damage, causation, remedy, and three-year limitations review</w:t>
      </w:r>
    </w:p>
    <w:p w14:paraId="77FAC47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Collection-agency/debt-buyer license, assignment, validation, communication, charge, and jurisdiction review</w:t>
      </w:r>
    </w:p>
    <w:p w14:paraId="6A4FD72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13FDEFC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0FE45B65"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692EAB6"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Illinois (IL)</w:t>
      </w:r>
    </w:p>
    <w:p w14:paraId="0D432AB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64CAD68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Illinois Consumer Fraud and Deceptive Business Practices Act (ICFA) | </w:t>
      </w:r>
      <w:r w:rsidRPr="00566B6A">
        <w:rPr>
          <w:rFonts w:ascii="Courier New" w:hAnsi="Courier New" w:cs="Courier New"/>
          <w:sz w:val="22"/>
        </w:rPr>
        <w:t>815 ILCS 505/1–505/12 | Remedies: actual damages, injunction, appropriate relief, fees, costs, and punitive damages where authorized; three-year period under § 10a(e). | Authority: Attorney General / courts.</w:t>
      </w:r>
    </w:p>
    <w:p w14:paraId="54957C7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Illinois Collection Agency Act | </w:t>
      </w:r>
      <w:r w:rsidRPr="00566B6A">
        <w:rPr>
          <w:rFonts w:ascii="Courier New" w:hAnsi="Courier New" w:cs="Courier New"/>
          <w:sz w:val="22"/>
        </w:rPr>
        <w:t>205 ILCS 740/1 et seq. (formerly 225 ILCS 425) | Remedies: licensing, validation, communication limits, identity-theft procedures, discipline, fines, injunctions, and specified public remedies. | Authority: IDFPR / Attorney General / courts.</w:t>
      </w:r>
    </w:p>
    <w:p w14:paraId="05D3F51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Illinois Credit-Verification and Security-Freeze Law | </w:t>
      </w:r>
      <w:r w:rsidRPr="00566B6A">
        <w:rPr>
          <w:rFonts w:ascii="Courier New" w:hAnsi="Courier New" w:cs="Courier New"/>
          <w:sz w:val="22"/>
        </w:rPr>
        <w:t>815 ILCS 505/2MM | Remedies: identity/address verification, freeze placement, lift/removal, change notices, and qualifying ICFA remedies. | Authority: Attorney General / courts / CRAs.</w:t>
      </w:r>
    </w:p>
    <w:p w14:paraId="2F6F08E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Illinois Personal Information Protection Act | </w:t>
      </w:r>
      <w:r w:rsidRPr="00566B6A">
        <w:rPr>
          <w:rFonts w:ascii="Courier New" w:hAnsi="Courier New" w:cs="Courier New"/>
          <w:sz w:val="22"/>
        </w:rPr>
        <w:t>815 ILCS 530/1–530/50 | Remedies: resident and AG breach notice, reasonable security duties, and ICFA enforcement treatment. | Authority: Attorney General / courts.</w:t>
      </w:r>
    </w:p>
    <w:p w14:paraId="51B4E4E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Illinois Identity-Theft and Collection-File Restoration Provisions | </w:t>
      </w:r>
      <w:r w:rsidRPr="00566B6A">
        <w:rPr>
          <w:rFonts w:ascii="Courier New" w:hAnsi="Courier New" w:cs="Courier New"/>
          <w:sz w:val="22"/>
        </w:rPr>
        <w:t>720 ILCS 5/16-30 and 205 ILCS 740/9.4 | Remedies: criminal penalties, collection review, cessation and deletion requests where required, and restoration records. | Authority: law enforcement / IDFPR / courts.</w:t>
      </w:r>
    </w:p>
    <w:p w14:paraId="23BD3B3F"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2D96998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Illinois Collection Agency Regulations — </w:t>
      </w:r>
      <w:r w:rsidRPr="00566B6A">
        <w:rPr>
          <w:rFonts w:ascii="Courier New" w:hAnsi="Courier New" w:cs="Courier New"/>
          <w:sz w:val="22"/>
        </w:rPr>
        <w:t>38 Ill. Adm. Code Part 150 governs licensing, communications, records, payments, examinations, and enforcement; verify the current section before use.</w:t>
      </w:r>
    </w:p>
    <w:p w14:paraId="058BDDD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61CAD4E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Illinois Attorney General — Consumer Protection Division: </w:t>
      </w:r>
      <w:r w:rsidRPr="00566B6A">
        <w:rPr>
          <w:rFonts w:ascii="Courier New" w:hAnsi="Courier New" w:cs="Courier New"/>
          <w:sz w:val="22"/>
        </w:rPr>
        <w:t>complaint intake, informal resolution, education, investigation, and ICFA enforcement.</w:t>
      </w:r>
    </w:p>
    <w:p w14:paraId="3D57750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IDFPR — Division of Financial Institutions: </w:t>
      </w:r>
      <w:r w:rsidRPr="00566B6A">
        <w:rPr>
          <w:rFonts w:ascii="Courier New" w:hAnsi="Courier New" w:cs="Courier New"/>
          <w:sz w:val="22"/>
        </w:rPr>
        <w:t>license lookup, complaints, examinations, investigations, discipline, and oversight.</w:t>
      </w:r>
    </w:p>
    <w:p w14:paraId="5F3204E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Illinois Attorney General identity-theft resources: </w:t>
      </w:r>
      <w:r w:rsidRPr="00566B6A">
        <w:rPr>
          <w:rFonts w:ascii="Courier New" w:hAnsi="Courier New" w:cs="Courier New"/>
          <w:sz w:val="22"/>
        </w:rPr>
        <w:t>consumer assistance, reporting, restoration guidance, and complaint pathways.</w:t>
      </w:r>
    </w:p>
    <w:p w14:paraId="1CF21C6F"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0F3988FF"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controlling for credit-report disputes; none are identified without municipal verification.</w:t>
      </w:r>
    </w:p>
    <w:p w14:paraId="2D495ABB" w14:textId="77777777" w:rsidR="00964317" w:rsidRPr="00566B6A" w:rsidRDefault="00964317">
      <w:pPr>
        <w:spacing w:after="60"/>
        <w:rPr>
          <w:rFonts w:ascii="Courier New" w:hAnsi="Courier New" w:cs="Courier New"/>
          <w:sz w:val="22"/>
        </w:rPr>
      </w:pPr>
    </w:p>
    <w:p w14:paraId="722A855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47401B6A" w14:textId="77777777">
        <w:trPr>
          <w:cantSplit/>
          <w:tblHeader/>
          <w:jc w:val="center"/>
        </w:trPr>
        <w:tc>
          <w:tcPr>
            <w:tcW w:w="2232" w:type="dxa"/>
            <w:shd w:val="clear" w:color="auto" w:fill="D9EAF7"/>
            <w:tcMar>
              <w:top w:w="55" w:type="dxa"/>
              <w:left w:w="55" w:type="dxa"/>
              <w:bottom w:w="55" w:type="dxa"/>
              <w:right w:w="55" w:type="dxa"/>
            </w:tcMar>
            <w:vAlign w:val="center"/>
          </w:tcPr>
          <w:p w14:paraId="644A001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5F1857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D9AC2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5530541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3A16EED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1CD58AF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1DCE3DB7" w14:textId="77777777">
        <w:trPr>
          <w:cantSplit/>
          <w:jc w:val="center"/>
        </w:trPr>
        <w:tc>
          <w:tcPr>
            <w:tcW w:w="2232" w:type="dxa"/>
            <w:tcMar>
              <w:top w:w="50" w:type="dxa"/>
              <w:left w:w="55" w:type="dxa"/>
              <w:bottom w:w="50" w:type="dxa"/>
              <w:right w:w="55" w:type="dxa"/>
            </w:tcMar>
          </w:tcPr>
          <w:p w14:paraId="01687F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Avery v. State Farm Mutual Automobile Insurance Co.</w:t>
            </w:r>
          </w:p>
        </w:tc>
        <w:tc>
          <w:tcPr>
            <w:tcW w:w="1152" w:type="dxa"/>
            <w:tcMar>
              <w:top w:w="50" w:type="dxa"/>
              <w:left w:w="55" w:type="dxa"/>
              <w:bottom w:w="50" w:type="dxa"/>
              <w:right w:w="55" w:type="dxa"/>
            </w:tcMar>
          </w:tcPr>
          <w:p w14:paraId="20F07B7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 Sup. Ct.</w:t>
            </w:r>
          </w:p>
        </w:tc>
        <w:tc>
          <w:tcPr>
            <w:tcW w:w="748" w:type="dxa"/>
            <w:tcMar>
              <w:top w:w="50" w:type="dxa"/>
              <w:left w:w="55" w:type="dxa"/>
              <w:bottom w:w="50" w:type="dxa"/>
              <w:right w:w="55" w:type="dxa"/>
            </w:tcMar>
          </w:tcPr>
          <w:p w14:paraId="44BC500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tcMar>
              <w:top w:w="50" w:type="dxa"/>
              <w:left w:w="55" w:type="dxa"/>
              <w:bottom w:w="50" w:type="dxa"/>
              <w:right w:w="55" w:type="dxa"/>
            </w:tcMar>
          </w:tcPr>
          <w:p w14:paraId="075707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216 Ill. 2d 100, 835 N.E.2d 801</w:t>
            </w:r>
          </w:p>
        </w:tc>
        <w:tc>
          <w:tcPr>
            <w:tcW w:w="4536" w:type="dxa"/>
            <w:tcMar>
              <w:top w:w="50" w:type="dxa"/>
              <w:left w:w="55" w:type="dxa"/>
              <w:bottom w:w="50" w:type="dxa"/>
              <w:right w:w="55" w:type="dxa"/>
            </w:tcMar>
          </w:tcPr>
          <w:p w14:paraId="30D3312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ICFA claim requires an unlawful practice, intent that others rely, trade or commerce, actual damage, and proximate causation; a deception claim requires the claimant to have been deceived in some manner.</w:t>
            </w:r>
          </w:p>
        </w:tc>
        <w:tc>
          <w:tcPr>
            <w:tcW w:w="3643" w:type="dxa"/>
            <w:tcMar>
              <w:top w:w="50" w:type="dxa"/>
              <w:left w:w="55" w:type="dxa"/>
              <w:bottom w:w="50" w:type="dxa"/>
              <w:right w:w="55" w:type="dxa"/>
            </w:tcMar>
          </w:tcPr>
          <w:p w14:paraId="3112157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how the claimant was deceived, transaction response, measurable loss, and causal link.</w:t>
            </w:r>
          </w:p>
        </w:tc>
      </w:tr>
      <w:tr w:rsidR="00756B19" w:rsidRPr="00566B6A" w14:paraId="0B91CEBA" w14:textId="77777777">
        <w:trPr>
          <w:cantSplit/>
          <w:jc w:val="center"/>
        </w:trPr>
        <w:tc>
          <w:tcPr>
            <w:tcW w:w="2232" w:type="dxa"/>
            <w:shd w:val="clear" w:color="auto" w:fill="F7FAFC"/>
            <w:tcMar>
              <w:top w:w="50" w:type="dxa"/>
              <w:left w:w="55" w:type="dxa"/>
              <w:bottom w:w="50" w:type="dxa"/>
              <w:right w:w="55" w:type="dxa"/>
            </w:tcMar>
          </w:tcPr>
          <w:p w14:paraId="0C2253E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Robinson v. Toyota Motor Credit Corp.</w:t>
            </w:r>
          </w:p>
        </w:tc>
        <w:tc>
          <w:tcPr>
            <w:tcW w:w="1152" w:type="dxa"/>
            <w:shd w:val="clear" w:color="auto" w:fill="F7FAFC"/>
            <w:tcMar>
              <w:top w:w="50" w:type="dxa"/>
              <w:left w:w="55" w:type="dxa"/>
              <w:bottom w:w="50" w:type="dxa"/>
              <w:right w:w="55" w:type="dxa"/>
            </w:tcMar>
          </w:tcPr>
          <w:p w14:paraId="1BF95DC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 Sup. Ct.</w:t>
            </w:r>
          </w:p>
        </w:tc>
        <w:tc>
          <w:tcPr>
            <w:tcW w:w="748" w:type="dxa"/>
            <w:shd w:val="clear" w:color="auto" w:fill="F7FAFC"/>
            <w:tcMar>
              <w:top w:w="50" w:type="dxa"/>
              <w:left w:w="55" w:type="dxa"/>
              <w:bottom w:w="50" w:type="dxa"/>
              <w:right w:w="55" w:type="dxa"/>
            </w:tcMar>
          </w:tcPr>
          <w:p w14:paraId="48901A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shd w:val="clear" w:color="auto" w:fill="F7FAFC"/>
            <w:tcMar>
              <w:top w:w="50" w:type="dxa"/>
              <w:left w:w="55" w:type="dxa"/>
              <w:bottom w:w="50" w:type="dxa"/>
              <w:right w:w="55" w:type="dxa"/>
            </w:tcMar>
          </w:tcPr>
          <w:p w14:paraId="5B4CCD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 Ill. 2d 403, 775 N.E.2d 951</w:t>
            </w:r>
          </w:p>
        </w:tc>
        <w:tc>
          <w:tcPr>
            <w:tcW w:w="4536" w:type="dxa"/>
            <w:shd w:val="clear" w:color="auto" w:fill="F7FAFC"/>
            <w:tcMar>
              <w:top w:w="50" w:type="dxa"/>
              <w:left w:w="55" w:type="dxa"/>
              <w:bottom w:w="50" w:type="dxa"/>
              <w:right w:w="55" w:type="dxa"/>
            </w:tcMar>
          </w:tcPr>
          <w:p w14:paraId="2C8745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Unfairness considers public policy, immoral or oppressive conduct, and substantial consumer injury. Clear lease terms and insufficient coercion or deception did not establish an ICFA violation.</w:t>
            </w:r>
          </w:p>
        </w:tc>
        <w:tc>
          <w:tcPr>
            <w:tcW w:w="3643" w:type="dxa"/>
            <w:shd w:val="clear" w:color="auto" w:fill="F7FAFC"/>
            <w:tcMar>
              <w:top w:w="50" w:type="dxa"/>
              <w:left w:w="55" w:type="dxa"/>
              <w:bottom w:w="50" w:type="dxa"/>
              <w:right w:w="55" w:type="dxa"/>
            </w:tcMar>
          </w:tcPr>
          <w:p w14:paraId="5C85942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Compare the conduct with public policy, meaningful choice, and avoidable injury; preserve the contract, disclosures, advertisements, and communications.</w:t>
            </w:r>
          </w:p>
        </w:tc>
      </w:tr>
      <w:tr w:rsidR="00756B19" w:rsidRPr="00566B6A" w14:paraId="326A15E5" w14:textId="77777777">
        <w:trPr>
          <w:cantSplit/>
          <w:jc w:val="center"/>
        </w:trPr>
        <w:tc>
          <w:tcPr>
            <w:tcW w:w="2232" w:type="dxa"/>
            <w:tcMar>
              <w:top w:w="50" w:type="dxa"/>
              <w:left w:w="55" w:type="dxa"/>
              <w:bottom w:w="50" w:type="dxa"/>
              <w:right w:w="55" w:type="dxa"/>
            </w:tcMar>
          </w:tcPr>
          <w:p w14:paraId="73B463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LVNV Funding, LLC v. Trice</w:t>
            </w:r>
          </w:p>
        </w:tc>
        <w:tc>
          <w:tcPr>
            <w:tcW w:w="1152" w:type="dxa"/>
            <w:tcMar>
              <w:top w:w="50" w:type="dxa"/>
              <w:left w:w="55" w:type="dxa"/>
              <w:bottom w:w="50" w:type="dxa"/>
              <w:right w:w="55" w:type="dxa"/>
            </w:tcMar>
          </w:tcPr>
          <w:p w14:paraId="6A516C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Ill. Sup. Ct.</w:t>
            </w:r>
          </w:p>
        </w:tc>
        <w:tc>
          <w:tcPr>
            <w:tcW w:w="748" w:type="dxa"/>
            <w:tcMar>
              <w:top w:w="50" w:type="dxa"/>
              <w:left w:w="55" w:type="dxa"/>
              <w:bottom w:w="50" w:type="dxa"/>
              <w:right w:w="55" w:type="dxa"/>
            </w:tcMar>
          </w:tcPr>
          <w:p w14:paraId="50CF09C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31B7691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 IL 116129, 32 N.E.3d 553</w:t>
            </w:r>
          </w:p>
        </w:tc>
        <w:tc>
          <w:tcPr>
            <w:tcW w:w="4536" w:type="dxa"/>
            <w:tcMar>
              <w:top w:w="50" w:type="dxa"/>
              <w:left w:w="55" w:type="dxa"/>
              <w:bottom w:w="50" w:type="dxa"/>
              <w:right w:w="55" w:type="dxa"/>
            </w:tcMar>
          </w:tcPr>
          <w:p w14:paraId="644787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debt buyer was subject to Collection Agency Act licensing, but an unlicensed filing did not deprive the circuit court of jurisdiction or automatically make the judgment void.</w:t>
            </w:r>
          </w:p>
        </w:tc>
        <w:tc>
          <w:tcPr>
            <w:tcW w:w="3643" w:type="dxa"/>
            <w:tcMar>
              <w:top w:w="50" w:type="dxa"/>
              <w:left w:w="55" w:type="dxa"/>
              <w:bottom w:w="50" w:type="dxa"/>
              <w:right w:w="55" w:type="dxa"/>
            </w:tcMar>
          </w:tcPr>
          <w:p w14:paraId="273835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license and debt-buyer status, assignment, account records, limitations, and available remedies; do not assume automatic voidness.</w:t>
            </w:r>
          </w:p>
        </w:tc>
      </w:tr>
    </w:tbl>
    <w:p w14:paraId="2AD6BF38" w14:textId="77777777" w:rsidR="00756B19" w:rsidRPr="00566B6A" w:rsidRDefault="00756B19">
      <w:pPr>
        <w:spacing w:after="20"/>
        <w:rPr>
          <w:rFonts w:ascii="Courier New" w:hAnsi="Courier New" w:cs="Courier New"/>
          <w:sz w:val="22"/>
        </w:rPr>
      </w:pPr>
    </w:p>
    <w:p w14:paraId="0B7296B2"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460BEBDA"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TK-Authority-2026-07-IL</w:t>
      </w:r>
    </w:p>
    <w:p w14:paraId="5263E515"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5D583D2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IL + WA</w:t>
      </w:r>
    </w:p>
    <w:p w14:paraId="1D2E0769"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before use. Illinois authorities were checked against current General Assembly, Attorney General, IDFPR, and court materials; federal authorities against current U.S. Code and Regulation V materials available July 23, 2026.</w:t>
      </w:r>
    </w:p>
    <w:p w14:paraId="09DF1A9E"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4F0CE03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3C02560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Preemption-Sensitive Authority</w:t>
      </w:r>
    </w:p>
    <w:p w14:paraId="40AB1F4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7FDC1E1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3A7A574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027233CE"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to identify federal and Illinois consumer-protection authorities. Laws and interpretations may change. This material is educational only and is not legal advice or representation.</w:t>
      </w:r>
    </w:p>
    <w:p w14:paraId="723A1B7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3A3D3F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5ACC928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Illinois Administrative Code citation by title, part, section, and subsection.</w:t>
      </w:r>
    </w:p>
    <w:p w14:paraId="751DC85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129B8B2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7435E6A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2DF6BB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60332E0E"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267AB73D" w14:textId="77777777" w:rsidR="00BD7EED" w:rsidRDefault="00BD7EED">
      <w:pPr>
        <w:keepLines/>
        <w:spacing w:before="40" w:after="0"/>
        <w:rPr>
          <w:rFonts w:ascii="Courier New" w:hAnsi="Courier New" w:cs="Courier New"/>
          <w:i/>
          <w:color w:val="464646"/>
          <w:sz w:val="22"/>
        </w:rPr>
      </w:pPr>
    </w:p>
    <w:p w14:paraId="4CD46511" w14:textId="77777777" w:rsidR="00BD7EED" w:rsidRDefault="00BD7EED">
      <w:pPr>
        <w:keepLines/>
        <w:spacing w:before="40" w:after="0"/>
        <w:rPr>
          <w:rFonts w:ascii="Courier New" w:hAnsi="Courier New" w:cs="Courier New"/>
          <w:i/>
          <w:color w:val="464646"/>
          <w:sz w:val="22"/>
        </w:rPr>
      </w:pPr>
    </w:p>
    <w:p w14:paraId="0B362913" w14:textId="77777777" w:rsidR="00BD7EED" w:rsidRDefault="00BD7EED">
      <w:pPr>
        <w:keepLines/>
        <w:spacing w:before="40" w:after="0"/>
        <w:rPr>
          <w:rFonts w:ascii="Courier New" w:hAnsi="Courier New" w:cs="Courier New"/>
          <w:i/>
          <w:color w:val="464646"/>
          <w:sz w:val="22"/>
        </w:rPr>
      </w:pPr>
    </w:p>
    <w:p w14:paraId="37D286F5" w14:textId="77777777" w:rsidR="00BD7EED" w:rsidRDefault="00BD7EED">
      <w:pPr>
        <w:keepLines/>
        <w:spacing w:before="40" w:after="0"/>
        <w:rPr>
          <w:rFonts w:ascii="Courier New" w:hAnsi="Courier New" w:cs="Courier New"/>
          <w:i/>
          <w:color w:val="464646"/>
          <w:sz w:val="22"/>
        </w:rPr>
      </w:pPr>
    </w:p>
    <w:p w14:paraId="229042AB" w14:textId="77777777" w:rsidR="00BD7EED" w:rsidRDefault="00BD7EED">
      <w:pPr>
        <w:keepLines/>
        <w:spacing w:before="40" w:after="0"/>
        <w:rPr>
          <w:rFonts w:ascii="Courier New" w:hAnsi="Courier New" w:cs="Courier New"/>
          <w:i/>
          <w:color w:val="464646"/>
          <w:sz w:val="22"/>
        </w:rPr>
      </w:pPr>
    </w:p>
    <w:p w14:paraId="135A4F8C" w14:textId="77777777" w:rsidR="00BD7EED" w:rsidRDefault="00BD7EED">
      <w:pPr>
        <w:keepLines/>
        <w:spacing w:before="40" w:after="0"/>
        <w:rPr>
          <w:rFonts w:ascii="Courier New" w:hAnsi="Courier New" w:cs="Courier New"/>
          <w:i/>
          <w:color w:val="464646"/>
          <w:sz w:val="22"/>
        </w:rPr>
      </w:pPr>
    </w:p>
    <w:p w14:paraId="0AAA74E5" w14:textId="77777777" w:rsidR="00BD7EED" w:rsidRDefault="00BD7EED">
      <w:pPr>
        <w:keepLines/>
        <w:spacing w:before="40" w:after="0"/>
        <w:rPr>
          <w:rFonts w:ascii="Courier New" w:hAnsi="Courier New" w:cs="Courier New"/>
          <w:i/>
          <w:color w:val="464646"/>
          <w:sz w:val="22"/>
        </w:rPr>
      </w:pPr>
    </w:p>
    <w:p w14:paraId="48533029" w14:textId="77777777" w:rsidR="00BD7EED" w:rsidRDefault="00BD7EED">
      <w:pPr>
        <w:keepLines/>
        <w:spacing w:before="40" w:after="0"/>
        <w:rPr>
          <w:rFonts w:ascii="Courier New" w:hAnsi="Courier New" w:cs="Courier New"/>
          <w:i/>
          <w:color w:val="464646"/>
          <w:sz w:val="22"/>
        </w:rPr>
      </w:pPr>
    </w:p>
    <w:p w14:paraId="3A6B6CDC" w14:textId="77777777" w:rsidR="00BD7EED" w:rsidRDefault="00BD7EED">
      <w:pPr>
        <w:keepLines/>
        <w:spacing w:before="40" w:after="0"/>
        <w:rPr>
          <w:rFonts w:ascii="Courier New" w:hAnsi="Courier New" w:cs="Courier New"/>
          <w:i/>
          <w:color w:val="464646"/>
          <w:sz w:val="22"/>
        </w:rPr>
      </w:pPr>
    </w:p>
    <w:p w14:paraId="463C1734" w14:textId="77777777" w:rsidR="00BD7EED" w:rsidRDefault="00BD7EED">
      <w:pPr>
        <w:keepLines/>
        <w:spacing w:before="40" w:after="0"/>
        <w:rPr>
          <w:rFonts w:ascii="Courier New" w:hAnsi="Courier New" w:cs="Courier New"/>
          <w:i/>
          <w:color w:val="464646"/>
          <w:sz w:val="22"/>
        </w:rPr>
      </w:pPr>
    </w:p>
    <w:p w14:paraId="0A52F338" w14:textId="77777777" w:rsidR="00BD7EED" w:rsidRDefault="00BD7EED">
      <w:pPr>
        <w:keepLines/>
        <w:spacing w:before="40" w:after="0"/>
        <w:rPr>
          <w:rFonts w:ascii="Courier New" w:hAnsi="Courier New" w:cs="Courier New"/>
          <w:i/>
          <w:color w:val="464646"/>
          <w:sz w:val="22"/>
        </w:rPr>
      </w:pPr>
    </w:p>
    <w:p w14:paraId="2B497034" w14:textId="77777777" w:rsidR="00BD7EED" w:rsidRDefault="00BD7EED">
      <w:pPr>
        <w:keepLines/>
        <w:spacing w:before="40" w:after="0"/>
        <w:rPr>
          <w:rFonts w:ascii="Courier New" w:hAnsi="Courier New" w:cs="Courier New"/>
          <w:i/>
          <w:color w:val="464646"/>
          <w:sz w:val="22"/>
        </w:rPr>
      </w:pPr>
    </w:p>
    <w:p w14:paraId="3B6251F5" w14:textId="77777777" w:rsidR="00BD7EED" w:rsidRDefault="00BD7EED">
      <w:pPr>
        <w:keepLines/>
        <w:spacing w:before="40" w:after="0"/>
        <w:rPr>
          <w:rFonts w:ascii="Courier New" w:hAnsi="Courier New" w:cs="Courier New"/>
          <w:i/>
          <w:color w:val="464646"/>
          <w:sz w:val="22"/>
        </w:rPr>
      </w:pPr>
    </w:p>
    <w:p w14:paraId="45EF0064" w14:textId="77777777" w:rsidR="00BD7EED" w:rsidRPr="00566B6A" w:rsidRDefault="00BD7EED">
      <w:pPr>
        <w:keepLines/>
        <w:spacing w:before="40" w:after="0"/>
        <w:rPr>
          <w:rFonts w:ascii="Courier New" w:hAnsi="Courier New" w:cs="Courier New"/>
          <w:sz w:val="22"/>
        </w:rPr>
      </w:pPr>
    </w:p>
    <w:p w14:paraId="7CEED4BD" w14:textId="77777777" w:rsidR="006F6708" w:rsidRDefault="00C86E78">
      <w:pPr>
        <w:pageBreakBefore/>
      </w:pPr>
      <w:r>
        <w:rPr>
          <w:color w:val="FFFFFF"/>
          <w:sz w:val="2"/>
        </w:rPr>
        <w:lastRenderedPageBreak/>
        <w:t> </w:t>
      </w:r>
    </w:p>
    <w:sectPr w:rsidR="006F6708"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46CB0" w14:textId="77777777" w:rsidR="00C86E78" w:rsidRDefault="00C86E78">
      <w:pPr>
        <w:spacing w:after="0" w:line="240" w:lineRule="auto"/>
      </w:pPr>
      <w:r>
        <w:separator/>
      </w:r>
    </w:p>
  </w:endnote>
  <w:endnote w:type="continuationSeparator" w:id="0">
    <w:p w14:paraId="441EC37C" w14:textId="77777777" w:rsidR="00C86E78" w:rsidRDefault="00C86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7D3C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FF5D6" w14:textId="77777777" w:rsidR="00C86E78" w:rsidRDefault="00C86E78">
      <w:pPr>
        <w:spacing w:after="0" w:line="240" w:lineRule="auto"/>
      </w:pPr>
      <w:r>
        <w:separator/>
      </w:r>
    </w:p>
  </w:footnote>
  <w:footnote w:type="continuationSeparator" w:id="0">
    <w:p w14:paraId="3844C6E7" w14:textId="77777777" w:rsidR="00C86E78" w:rsidRDefault="00C86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0215" w14:textId="77777777" w:rsidR="00756B19" w:rsidRDefault="00F247EE">
    <w:pPr>
      <w:pStyle w:val="Header"/>
      <w:jc w:val="right"/>
    </w:pPr>
    <w:r>
      <w:rPr>
        <w:b/>
        <w:color w:val="505050"/>
        <w:sz w:val="15"/>
      </w:rPr>
      <w:t>GLADIC AI™ — SECTION 3A | ILLINOIS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6F6708"/>
    <w:rsid w:val="00736F61"/>
    <w:rsid w:val="00756B19"/>
    <w:rsid w:val="00964317"/>
    <w:rsid w:val="00AA1D8D"/>
    <w:rsid w:val="00B47730"/>
    <w:rsid w:val="00BD7EED"/>
    <w:rsid w:val="00C86E78"/>
    <w:rsid w:val="00CB0664"/>
    <w:rsid w:val="00EC19EE"/>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DE573"/>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4090</Words>
  <Characters>23313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27349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2026-07-24T04:30:00Z</dcterms:created>
  <dcterms:modified xsi:type="dcterms:W3CDTF">2026-07-24T04:30:00Z</dcterms:modified>
  <cp:category/>
</cp:coreProperties>
</file>