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586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B61E413" w14:textId="77777777" w:rsidR="00024A47" w:rsidRPr="00024A47" w:rsidRDefault="00024A47">
      <w:pPr>
        <w:spacing w:after="140"/>
        <w:jc w:val="center"/>
        <w:rPr>
          <w:rFonts w:ascii="Courier New" w:hAnsi="Courier New" w:cs="Courier New"/>
          <w:b/>
          <w:sz w:val="22"/>
        </w:rPr>
      </w:pPr>
    </w:p>
    <w:p w14:paraId="7577999F"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084D582F" w14:textId="77777777" w:rsidR="00566B6A" w:rsidRPr="00024A47" w:rsidRDefault="00566B6A" w:rsidP="00566B6A">
      <w:pPr>
        <w:spacing w:after="0"/>
        <w:jc w:val="center"/>
        <w:rPr>
          <w:rFonts w:ascii="Courier New" w:hAnsi="Courier New" w:cs="Courier New"/>
          <w:bCs/>
          <w:sz w:val="22"/>
        </w:rPr>
      </w:pPr>
    </w:p>
    <w:p w14:paraId="1A3CBA7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6C98A2C"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1CC67CE6"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5B23EE7"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Indiana (IN)</w:t>
      </w:r>
    </w:p>
    <w:p w14:paraId="2223D20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533C18A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438B740C"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57EFC9F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Indiana Deceptive Consumer Sales Act (DCSA)</w:t>
      </w:r>
    </w:p>
    <w:p w14:paraId="2524389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Ind. Code §§ 24-5-0.5-1 through 24-5-0.5-12</w:t>
      </w:r>
    </w:p>
    <w:p w14:paraId="799BB83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abusive, deceptive, and unconscionable acts, omissions, and practices by suppliers in consumer transactions, including specifically enumerated deceptive representations and conduct.</w:t>
      </w:r>
    </w:p>
    <w:p w14:paraId="65F815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Ind. Code § 24-5-0.5-4(a), a qualifying consumer relying on an uncured or incurable deceptive act may seek actual damages or $500, whichever is greater. For a willful deceptive act, the court may increase damages up to the greater of three times actual damages or $1,000. Prevailing-party attorney’s fees, injunctive relief, civil penalties, and public enforcement remedies may apply as authorized.</w:t>
      </w:r>
    </w:p>
    <w:p w14:paraId="7970614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Ind. Code § 24-5-0.5-4. Unless the act is incurable, the consumer generally must provide written notice within the earliest applicable period stated in § 24-5-0.5-5(a), describe the deceptive act and actual damage, and allow the act to become uncured. Private actions under § 4(a) or § 4(b) generally must be brought within two years after the deceptive act under § 24-5-0.5-5(b).</w:t>
      </w:r>
    </w:p>
    <w:p w14:paraId="6751B15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Indiana Attorney General — Consumer Protection Division; powers and duties under Ind. Code § 4-6-9-4 and enforcement authority under the DCSA.</w:t>
      </w:r>
    </w:p>
    <w:p w14:paraId="440E60A7"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769ECA0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activity present — determine whether the actor is a licensed collection agency, an original creditor, an exempt entity, an assignee, or a qualifying federal debt collector.</w:t>
      </w:r>
    </w:p>
    <w:p w14:paraId="44B91C7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Indiana’s Collection Agency Act regulates collection-agency licensing, records, client funds, assignments, unlicensed operation, administrative discipline, and civil penalties. The federal Fair Debt Collection Practices Act remains the primary consumer-conduct statute for qualifying debt collectors.</w:t>
      </w:r>
    </w:p>
    <w:p w14:paraId="0C8635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Ind. Code §§ 25-11-1-1 through 25-11-1-16; 15 U.S.C. §§ 1692 through 1692p.</w:t>
      </w:r>
    </w:p>
    <w:p w14:paraId="13B137C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Indiana Secretary of State — Securities Division; Indiana Attorney General; Indiana Department of Financial Institutions where institution or consumer-credit jurisdiction applies; CFPB and FTC where federal jurisdiction applies.</w:t>
      </w:r>
    </w:p>
    <w:p w14:paraId="10B50896"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0C1726A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Indiana does not maintain a broad analogue to the federal FCRA governing general accuracy and reinvestigation duties. Indiana’s security-freeze statutes protect consumer reports, while federal FCRA procedures remain the primary accuracy framework.</w:t>
      </w:r>
    </w:p>
    <w:p w14:paraId="6F339FE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Indiana consumers may place, temporarily lift, or remove a security freeze under Ind. Code §§ 24-5-24-1 through 24-5-24-17. Protected-consumer freezes are addressed separately in Ind. Code chapter 24-5-24.5.</w:t>
      </w:r>
    </w:p>
    <w:p w14:paraId="2A8B22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use Indiana security-freeze procedures to restrict specified releases of consumer reports.</w:t>
      </w:r>
    </w:p>
    <w:p w14:paraId="36AC46A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Indiana claims should be evaluated separately for FCRA preemption.</w:t>
      </w:r>
    </w:p>
    <w:p w14:paraId="0A1FA17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Indiana supplements identity protection through consumer and protected-consumer security freezes, breach notification, and criminal identity-deception law.</w:t>
      </w:r>
    </w:p>
    <w:p w14:paraId="7A81B3B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Ind. Code § 24-5-24-15 authorizes a qualifying injured consumer to bring a civil action and permits actual damages or $500, subject to the statutory cap, punitive damages, costs, and reasonable attorney’s fees for knowing or intentional noncompliance. Section 24-5-24-16 authorizes Attorney General civil penalties.</w:t>
      </w:r>
    </w:p>
    <w:p w14:paraId="5CD90FE8"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0E44249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673D024F"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2A8E6CC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34F03DE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F847DF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18E08662"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78900C9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93F85B2"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24F8E84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BF42490"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602BA5AA"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057F669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deception: Ind. Code § 35-43-5-3.5 criminalizes knowingly or intentionally obtaining, possessing, transferring, or using identifying information, with intent to harm or defraud, to profess to be another person.</w:t>
      </w:r>
    </w:p>
    <w:p w14:paraId="0390788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Related protection: The statute provides enhanced felony treatment in specified circumstances, including large-scale use, substantial harm, or misuse of a minor dependent’s identifying information.</w:t>
      </w:r>
    </w:p>
    <w:p w14:paraId="586D285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federal fraud alerts and blocking, Indiana security freezes, creditor notifications, and documented bureau dispute trails.</w:t>
      </w:r>
    </w:p>
    <w:p w14:paraId="6EB256A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and blocking responses, and agency confirmation numbers.</w:t>
      </w:r>
    </w:p>
    <w:p w14:paraId="4AB2D022"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48E77A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Under Ind. Code article 24-4.9, a database owner must provide required notice to an affected Indiana resident when unauthorized acquisition has resulted in or could result in identity deception, identity theft, or fraud. Required notice generally must be made without unreasonable delay and not later than forty-five days after discovery, subject to statutory exceptions and permitted delay.</w:t>
      </w:r>
    </w:p>
    <w:p w14:paraId="7349B12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Article range: Indiana’s Disclosure of Security Breach Act is codified at Ind. Code §§ 24-4.9-1-1 through 24-4.9-5-1; the core disclosure and enforcement provisions appear in chapters 3 and 4.</w:t>
      </w:r>
    </w:p>
    <w:p w14:paraId="6D1F19E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Indiana also maintains additional data-protection statutes outside this module. This Section 3A is limited to the listed breach, security-freeze, identity-deception, debt-collection, and consumer-protection authorities.</w:t>
      </w:r>
    </w:p>
    <w:p w14:paraId="5D32D9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 investigation records, affected data elements, resident and Attorney General notices, delivery dates, consumer-reporting-agency notice where required, law-enforcement delay requests, and remediation documentation.</w:t>
      </w:r>
    </w:p>
    <w:p w14:paraId="02C1028A"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418B0E0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Indiana Attorney General — Consumer Protection Division: Consumer complaint intake, investigation, education, and DCSA enforcement.</w:t>
      </w:r>
    </w:p>
    <w:p w14:paraId="0EA6B8C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Indiana Secretary of State — Securities Division: Collection-agency registration, NMLS administration, complaint review, investigation, licensing discipline, and civil-penalty enforcement.</w:t>
      </w:r>
    </w:p>
    <w:p w14:paraId="2D0A9F2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Indiana Department of Financial Institutions: Complaint pathway for Indiana-regulated financial institutions and consumer-credit providers within its jurisdiction.</w:t>
      </w:r>
    </w:p>
    <w:p w14:paraId="0B8869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0B3A53B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57A9F49C"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Indiana without municipal verification.</w:t>
      </w:r>
    </w:p>
    <w:p w14:paraId="2E19E4CE" w14:textId="77777777" w:rsidR="00566B6A" w:rsidRPr="00566B6A" w:rsidRDefault="00566B6A" w:rsidP="00566B6A">
      <w:pPr>
        <w:spacing w:after="0"/>
        <w:rPr>
          <w:rFonts w:ascii="Courier New" w:hAnsi="Courier New" w:cs="Courier New"/>
          <w:bCs/>
          <w:sz w:val="22"/>
        </w:rPr>
      </w:pPr>
    </w:p>
    <w:p w14:paraId="326B8E66"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7B5E98B0" w14:textId="77777777">
        <w:trPr>
          <w:cantSplit/>
          <w:tblHeader/>
          <w:jc w:val="center"/>
        </w:trPr>
        <w:tc>
          <w:tcPr>
            <w:tcW w:w="1440" w:type="dxa"/>
            <w:shd w:val="clear" w:color="auto" w:fill="D9EAF7"/>
            <w:tcMar>
              <w:top w:w="55" w:type="dxa"/>
              <w:left w:w="55" w:type="dxa"/>
              <w:bottom w:w="55" w:type="dxa"/>
              <w:right w:w="55" w:type="dxa"/>
            </w:tcMar>
            <w:vAlign w:val="center"/>
          </w:tcPr>
          <w:p w14:paraId="6342B78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11883D3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32A057A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4C4F1C6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1202400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5E267512" w14:textId="77777777">
        <w:trPr>
          <w:cantSplit/>
          <w:jc w:val="center"/>
        </w:trPr>
        <w:tc>
          <w:tcPr>
            <w:tcW w:w="1440" w:type="dxa"/>
            <w:tcMar>
              <w:top w:w="50" w:type="dxa"/>
              <w:left w:w="55" w:type="dxa"/>
              <w:bottom w:w="50" w:type="dxa"/>
              <w:right w:w="55" w:type="dxa"/>
            </w:tcMar>
          </w:tcPr>
          <w:p w14:paraId="7714A3D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DDDDAA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24-5-0.5-1–12</w:t>
            </w:r>
          </w:p>
        </w:tc>
        <w:tc>
          <w:tcPr>
            <w:tcW w:w="3168" w:type="dxa"/>
            <w:tcMar>
              <w:top w:w="50" w:type="dxa"/>
              <w:left w:w="55" w:type="dxa"/>
              <w:bottom w:w="50" w:type="dxa"/>
              <w:right w:w="55" w:type="dxa"/>
            </w:tcMar>
          </w:tcPr>
          <w:p w14:paraId="7319FC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DCSA — unfair, abusive, deceptive, or unconscionable consumer-sales practices</w:t>
            </w:r>
          </w:p>
        </w:tc>
        <w:tc>
          <w:tcPr>
            <w:tcW w:w="3456" w:type="dxa"/>
            <w:tcMar>
              <w:top w:w="50" w:type="dxa"/>
              <w:left w:w="55" w:type="dxa"/>
              <w:bottom w:w="50" w:type="dxa"/>
              <w:right w:w="55" w:type="dxa"/>
            </w:tcMar>
          </w:tcPr>
          <w:p w14:paraId="46E67D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damages/$500; enhanced willful damages; fees, injunction, and public penalties</w:t>
            </w:r>
          </w:p>
        </w:tc>
        <w:tc>
          <w:tcPr>
            <w:tcW w:w="3888" w:type="dxa"/>
            <w:tcMar>
              <w:top w:w="50" w:type="dxa"/>
              <w:left w:w="55" w:type="dxa"/>
              <w:bottom w:w="50" w:type="dxa"/>
              <w:right w:w="55" w:type="dxa"/>
            </w:tcMar>
          </w:tcPr>
          <w:p w14:paraId="1373D7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representation/act; reliance; damage; notice/cure; two-year timing</w:t>
            </w:r>
          </w:p>
        </w:tc>
      </w:tr>
      <w:tr w:rsidR="00756B19" w:rsidRPr="00566B6A" w14:paraId="59C58240" w14:textId="77777777">
        <w:trPr>
          <w:cantSplit/>
          <w:jc w:val="center"/>
        </w:trPr>
        <w:tc>
          <w:tcPr>
            <w:tcW w:w="1440" w:type="dxa"/>
            <w:shd w:val="clear" w:color="auto" w:fill="F7FAFC"/>
            <w:tcMar>
              <w:top w:w="50" w:type="dxa"/>
              <w:left w:w="55" w:type="dxa"/>
              <w:bottom w:w="50" w:type="dxa"/>
              <w:right w:w="55" w:type="dxa"/>
            </w:tcMar>
          </w:tcPr>
          <w:p w14:paraId="0466103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A894E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25-11-1-1–16</w:t>
            </w:r>
          </w:p>
        </w:tc>
        <w:tc>
          <w:tcPr>
            <w:tcW w:w="3168" w:type="dxa"/>
            <w:shd w:val="clear" w:color="auto" w:fill="F7FAFC"/>
            <w:tcMar>
              <w:top w:w="50" w:type="dxa"/>
              <w:left w:w="55" w:type="dxa"/>
              <w:bottom w:w="50" w:type="dxa"/>
              <w:right w:w="55" w:type="dxa"/>
            </w:tcMar>
          </w:tcPr>
          <w:p w14:paraId="60A862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registration, records, client funds, assignments, and enforcement</w:t>
            </w:r>
          </w:p>
        </w:tc>
        <w:tc>
          <w:tcPr>
            <w:tcW w:w="3456" w:type="dxa"/>
            <w:shd w:val="clear" w:color="auto" w:fill="F7FAFC"/>
            <w:tcMar>
              <w:top w:w="50" w:type="dxa"/>
              <w:left w:w="55" w:type="dxa"/>
              <w:bottom w:w="50" w:type="dxa"/>
              <w:right w:w="55" w:type="dxa"/>
            </w:tcMar>
          </w:tcPr>
          <w:p w14:paraId="36E62E3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discipline, orders, and civil penalties; federal remedies may apply separately</w:t>
            </w:r>
          </w:p>
        </w:tc>
        <w:tc>
          <w:tcPr>
            <w:tcW w:w="3888" w:type="dxa"/>
            <w:shd w:val="clear" w:color="auto" w:fill="F7FAFC"/>
            <w:tcMar>
              <w:top w:w="50" w:type="dxa"/>
              <w:left w:w="55" w:type="dxa"/>
              <w:bottom w:w="50" w:type="dxa"/>
              <w:right w:w="55" w:type="dxa"/>
            </w:tcMar>
          </w:tcPr>
          <w:p w14:paraId="378739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NMLS/license status; assignment; letters/calls; ledger; venue</w:t>
            </w:r>
          </w:p>
        </w:tc>
      </w:tr>
      <w:tr w:rsidR="00756B19" w:rsidRPr="00566B6A" w14:paraId="10B87781" w14:textId="77777777">
        <w:trPr>
          <w:cantSplit/>
          <w:jc w:val="center"/>
        </w:trPr>
        <w:tc>
          <w:tcPr>
            <w:tcW w:w="1440" w:type="dxa"/>
            <w:tcMar>
              <w:top w:w="50" w:type="dxa"/>
              <w:left w:w="55" w:type="dxa"/>
              <w:bottom w:w="50" w:type="dxa"/>
              <w:right w:w="55" w:type="dxa"/>
            </w:tcMar>
          </w:tcPr>
          <w:p w14:paraId="0922AC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1243E07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24-5-24-1–17</w:t>
            </w:r>
          </w:p>
        </w:tc>
        <w:tc>
          <w:tcPr>
            <w:tcW w:w="3168" w:type="dxa"/>
            <w:tcMar>
              <w:top w:w="50" w:type="dxa"/>
              <w:left w:w="55" w:type="dxa"/>
              <w:bottom w:w="50" w:type="dxa"/>
              <w:right w:w="55" w:type="dxa"/>
            </w:tcMar>
          </w:tcPr>
          <w:p w14:paraId="510622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Consumer-report security freezes, notices, and liability</w:t>
            </w:r>
          </w:p>
        </w:tc>
        <w:tc>
          <w:tcPr>
            <w:tcW w:w="3456" w:type="dxa"/>
            <w:tcMar>
              <w:top w:w="50" w:type="dxa"/>
              <w:left w:w="55" w:type="dxa"/>
              <w:bottom w:w="50" w:type="dxa"/>
              <w:right w:w="55" w:type="dxa"/>
            </w:tcMar>
          </w:tcPr>
          <w:p w14:paraId="736FCF1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or statutory damages, punitive damages, costs, fees, and AG penalties</w:t>
            </w:r>
          </w:p>
        </w:tc>
        <w:tc>
          <w:tcPr>
            <w:tcW w:w="3888" w:type="dxa"/>
            <w:tcMar>
              <w:top w:w="50" w:type="dxa"/>
              <w:left w:w="55" w:type="dxa"/>
              <w:bottom w:w="50" w:type="dxa"/>
              <w:right w:w="55" w:type="dxa"/>
            </w:tcMar>
          </w:tcPr>
          <w:p w14:paraId="236910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access/release history; lift/removal request; notice; damages</w:t>
            </w:r>
          </w:p>
        </w:tc>
      </w:tr>
      <w:tr w:rsidR="00756B19" w:rsidRPr="00566B6A" w14:paraId="15E0ED2D" w14:textId="77777777">
        <w:trPr>
          <w:cantSplit/>
          <w:jc w:val="center"/>
        </w:trPr>
        <w:tc>
          <w:tcPr>
            <w:tcW w:w="1440" w:type="dxa"/>
            <w:shd w:val="clear" w:color="auto" w:fill="F7FAFC"/>
            <w:tcMar>
              <w:top w:w="50" w:type="dxa"/>
              <w:left w:w="55" w:type="dxa"/>
              <w:bottom w:w="50" w:type="dxa"/>
              <w:right w:w="55" w:type="dxa"/>
            </w:tcMar>
          </w:tcPr>
          <w:p w14:paraId="0FCD507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2943B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24-4.9-1-1–5-1</w:t>
            </w:r>
          </w:p>
        </w:tc>
        <w:tc>
          <w:tcPr>
            <w:tcW w:w="3168" w:type="dxa"/>
            <w:shd w:val="clear" w:color="auto" w:fill="F7FAFC"/>
            <w:tcMar>
              <w:top w:w="50" w:type="dxa"/>
              <w:left w:w="55" w:type="dxa"/>
              <w:bottom w:w="50" w:type="dxa"/>
              <w:right w:w="55" w:type="dxa"/>
            </w:tcMar>
          </w:tcPr>
          <w:p w14:paraId="1BC10A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definitions, disclosure, timing, notice, enforcement, and preemption</w:t>
            </w:r>
          </w:p>
        </w:tc>
        <w:tc>
          <w:tcPr>
            <w:tcW w:w="3456" w:type="dxa"/>
            <w:shd w:val="clear" w:color="auto" w:fill="F7FAFC"/>
            <w:tcMar>
              <w:top w:w="50" w:type="dxa"/>
              <w:left w:w="55" w:type="dxa"/>
              <w:bottom w:w="50" w:type="dxa"/>
              <w:right w:w="55" w:type="dxa"/>
            </w:tcMar>
          </w:tcPr>
          <w:p w14:paraId="57AB57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Required resident/CRA/AG notice; Attorney General deceptive-act enforcement</w:t>
            </w:r>
          </w:p>
        </w:tc>
        <w:tc>
          <w:tcPr>
            <w:tcW w:w="3888" w:type="dxa"/>
            <w:shd w:val="clear" w:color="auto" w:fill="F7FAFC"/>
            <w:tcMar>
              <w:top w:w="50" w:type="dxa"/>
              <w:left w:w="55" w:type="dxa"/>
              <w:bottom w:w="50" w:type="dxa"/>
              <w:right w:w="55" w:type="dxa"/>
            </w:tcMar>
          </w:tcPr>
          <w:p w14:paraId="635383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delay request; remediation</w:t>
            </w:r>
          </w:p>
        </w:tc>
      </w:tr>
      <w:tr w:rsidR="00756B19" w:rsidRPr="00566B6A" w14:paraId="2B303AA7" w14:textId="77777777">
        <w:trPr>
          <w:cantSplit/>
          <w:jc w:val="center"/>
        </w:trPr>
        <w:tc>
          <w:tcPr>
            <w:tcW w:w="1440" w:type="dxa"/>
            <w:tcMar>
              <w:top w:w="50" w:type="dxa"/>
              <w:left w:w="55" w:type="dxa"/>
              <w:bottom w:w="50" w:type="dxa"/>
              <w:right w:w="55" w:type="dxa"/>
            </w:tcMar>
          </w:tcPr>
          <w:p w14:paraId="70F7A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7C5C21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35-43-5-3.5</w:t>
            </w:r>
          </w:p>
        </w:tc>
        <w:tc>
          <w:tcPr>
            <w:tcW w:w="3168" w:type="dxa"/>
            <w:tcMar>
              <w:top w:w="50" w:type="dxa"/>
              <w:left w:w="55" w:type="dxa"/>
              <w:bottom w:w="50" w:type="dxa"/>
              <w:right w:w="55" w:type="dxa"/>
            </w:tcMar>
          </w:tcPr>
          <w:p w14:paraId="28B39C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deception and enhanced felony circumstances</w:t>
            </w:r>
          </w:p>
        </w:tc>
        <w:tc>
          <w:tcPr>
            <w:tcW w:w="3456" w:type="dxa"/>
            <w:tcMar>
              <w:top w:w="50" w:type="dxa"/>
              <w:left w:w="55" w:type="dxa"/>
              <w:bottom w:w="50" w:type="dxa"/>
              <w:right w:w="55" w:type="dxa"/>
            </w:tcMar>
          </w:tcPr>
          <w:p w14:paraId="0D9485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identity-restoration documentation</w:t>
            </w:r>
          </w:p>
        </w:tc>
        <w:tc>
          <w:tcPr>
            <w:tcW w:w="3888" w:type="dxa"/>
            <w:tcMar>
              <w:top w:w="50" w:type="dxa"/>
              <w:left w:w="55" w:type="dxa"/>
              <w:bottom w:w="50" w:type="dxa"/>
              <w:right w:w="55" w:type="dxa"/>
            </w:tcMar>
          </w:tcPr>
          <w:p w14:paraId="15C7C0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creditor/bureau notices; loss and restoration trail</w:t>
            </w:r>
          </w:p>
        </w:tc>
      </w:tr>
      <w:tr w:rsidR="00756B19" w:rsidRPr="00566B6A" w14:paraId="4BE18525" w14:textId="77777777">
        <w:trPr>
          <w:cantSplit/>
          <w:jc w:val="center"/>
        </w:trPr>
        <w:tc>
          <w:tcPr>
            <w:tcW w:w="1440" w:type="dxa"/>
            <w:shd w:val="clear" w:color="auto" w:fill="F7FAFC"/>
            <w:tcMar>
              <w:top w:w="50" w:type="dxa"/>
              <w:left w:w="55" w:type="dxa"/>
              <w:bottom w:w="50" w:type="dxa"/>
              <w:right w:w="55" w:type="dxa"/>
            </w:tcMar>
          </w:tcPr>
          <w:p w14:paraId="7446D7D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5CD2E4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Indiana AG — Consumer Protection Division</w:t>
            </w:r>
          </w:p>
        </w:tc>
        <w:tc>
          <w:tcPr>
            <w:tcW w:w="3168" w:type="dxa"/>
            <w:shd w:val="clear" w:color="auto" w:fill="F7FAFC"/>
            <w:tcMar>
              <w:top w:w="50" w:type="dxa"/>
              <w:left w:w="55" w:type="dxa"/>
              <w:bottom w:w="50" w:type="dxa"/>
              <w:right w:w="55" w:type="dxa"/>
            </w:tcMar>
          </w:tcPr>
          <w:p w14:paraId="21A5AE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DCSA enforcement</w:t>
            </w:r>
          </w:p>
        </w:tc>
        <w:tc>
          <w:tcPr>
            <w:tcW w:w="3456" w:type="dxa"/>
            <w:shd w:val="clear" w:color="auto" w:fill="F7FAFC"/>
            <w:tcMar>
              <w:top w:w="50" w:type="dxa"/>
              <w:left w:w="55" w:type="dxa"/>
              <w:bottom w:w="50" w:type="dxa"/>
              <w:right w:w="55" w:type="dxa"/>
            </w:tcMar>
          </w:tcPr>
          <w:p w14:paraId="6C11BFB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voluntary compliance, injunction, civil penalties, or enforcement</w:t>
            </w:r>
          </w:p>
        </w:tc>
        <w:tc>
          <w:tcPr>
            <w:tcW w:w="3888" w:type="dxa"/>
            <w:shd w:val="clear" w:color="auto" w:fill="F7FAFC"/>
            <w:tcMar>
              <w:top w:w="50" w:type="dxa"/>
              <w:left w:w="55" w:type="dxa"/>
              <w:bottom w:w="50" w:type="dxa"/>
              <w:right w:w="55" w:type="dxa"/>
            </w:tcMar>
          </w:tcPr>
          <w:p w14:paraId="7FF3ED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625536F7" w14:textId="77777777">
        <w:trPr>
          <w:cantSplit/>
          <w:jc w:val="center"/>
        </w:trPr>
        <w:tc>
          <w:tcPr>
            <w:tcW w:w="1440" w:type="dxa"/>
            <w:tcMar>
              <w:top w:w="50" w:type="dxa"/>
              <w:left w:w="55" w:type="dxa"/>
              <w:bottom w:w="50" w:type="dxa"/>
              <w:right w:w="55" w:type="dxa"/>
            </w:tcMar>
          </w:tcPr>
          <w:p w14:paraId="25BDAE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78E187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Indiana Secretary of State / DFI</w:t>
            </w:r>
          </w:p>
        </w:tc>
        <w:tc>
          <w:tcPr>
            <w:tcW w:w="3168" w:type="dxa"/>
            <w:tcMar>
              <w:top w:w="50" w:type="dxa"/>
              <w:left w:w="55" w:type="dxa"/>
              <w:bottom w:w="50" w:type="dxa"/>
              <w:right w:w="55" w:type="dxa"/>
            </w:tcMar>
          </w:tcPr>
          <w:p w14:paraId="7F05A2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and state-regulated financial or consumer-credit entities</w:t>
            </w:r>
          </w:p>
        </w:tc>
        <w:tc>
          <w:tcPr>
            <w:tcW w:w="3456" w:type="dxa"/>
            <w:tcMar>
              <w:top w:w="50" w:type="dxa"/>
              <w:left w:w="55" w:type="dxa"/>
              <w:bottom w:w="50" w:type="dxa"/>
              <w:right w:w="55" w:type="dxa"/>
            </w:tcMar>
          </w:tcPr>
          <w:p w14:paraId="163A16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license review, complaints, investigation, discipline, and administrative action</w:t>
            </w:r>
          </w:p>
        </w:tc>
        <w:tc>
          <w:tcPr>
            <w:tcW w:w="3888" w:type="dxa"/>
            <w:tcMar>
              <w:top w:w="50" w:type="dxa"/>
              <w:left w:w="55" w:type="dxa"/>
              <w:bottom w:w="50" w:type="dxa"/>
              <w:right w:w="55" w:type="dxa"/>
            </w:tcMar>
          </w:tcPr>
          <w:p w14:paraId="4D7A27C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NMLS/license lookup; complaint file; assignment/account records; regulator response</w:t>
            </w:r>
          </w:p>
        </w:tc>
      </w:tr>
      <w:tr w:rsidR="00756B19" w:rsidRPr="00566B6A" w14:paraId="7E436FDB" w14:textId="77777777">
        <w:trPr>
          <w:cantSplit/>
          <w:jc w:val="center"/>
        </w:trPr>
        <w:tc>
          <w:tcPr>
            <w:tcW w:w="1440" w:type="dxa"/>
            <w:shd w:val="clear" w:color="auto" w:fill="F7FAFC"/>
            <w:tcMar>
              <w:top w:w="50" w:type="dxa"/>
              <w:left w:w="55" w:type="dxa"/>
              <w:bottom w:w="50" w:type="dxa"/>
              <w:right w:w="55" w:type="dxa"/>
            </w:tcMar>
          </w:tcPr>
          <w:p w14:paraId="7A2A7F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4B6E9AB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6D32B2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4CFAA0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45E85CF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Indiana and federal frameworks</w:t>
            </w:r>
          </w:p>
        </w:tc>
      </w:tr>
      <w:tr w:rsidR="00756B19" w:rsidRPr="00566B6A" w14:paraId="78D3E62B" w14:textId="77777777">
        <w:trPr>
          <w:cantSplit/>
          <w:jc w:val="center"/>
        </w:trPr>
        <w:tc>
          <w:tcPr>
            <w:tcW w:w="1440" w:type="dxa"/>
          </w:tcPr>
          <w:p w14:paraId="7C27159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027578B7"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6FA4B30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data; disclosure, accuracy, reinvestigation, correction, and deletion</w:t>
            </w:r>
          </w:p>
        </w:tc>
        <w:tc>
          <w:tcPr>
            <w:tcW w:w="3456" w:type="dxa"/>
          </w:tcPr>
          <w:p w14:paraId="1C744C37" w14:textId="77777777" w:rsidR="00756B19" w:rsidRPr="00566B6A" w:rsidRDefault="00F247EE">
            <w:pPr>
              <w:rPr>
                <w:rFonts w:ascii="Courier New" w:hAnsi="Courier New" w:cs="Courier New"/>
                <w:sz w:val="22"/>
              </w:rPr>
            </w:pPr>
            <w:r w:rsidRPr="00566B6A">
              <w:rPr>
                <w:rFonts w:ascii="Courier New" w:hAnsi="Courier New" w:cs="Courier New"/>
                <w:sz w:val="22"/>
              </w:rPr>
              <w:t>Free reinvestigation; revised report; deletion or modification of inaccurate, incomplete, or unverifiable data; reinsertion safeguards</w:t>
            </w:r>
          </w:p>
        </w:tc>
        <w:tc>
          <w:tcPr>
            <w:tcW w:w="3888" w:type="dxa"/>
          </w:tcPr>
          <w:p w14:paraId="349CA788" w14:textId="77777777" w:rsidR="00756B19" w:rsidRPr="00566B6A" w:rsidRDefault="00F247EE">
            <w:pPr>
              <w:rPr>
                <w:rFonts w:ascii="Courier New" w:hAnsi="Courier New" w:cs="Courier New"/>
                <w:sz w:val="22"/>
              </w:rPr>
            </w:pPr>
            <w:r w:rsidRPr="00566B6A">
              <w:rPr>
                <w:rFonts w:ascii="Courier New" w:hAnsi="Courier New" w:cs="Courier New"/>
                <w:sz w:val="22"/>
              </w:rPr>
              <w:t>Report page; identity/address proof; employer records; source request; dispute confirmation; revised report</w:t>
            </w:r>
          </w:p>
        </w:tc>
      </w:tr>
      <w:tr w:rsidR="00756B19" w:rsidRPr="00566B6A" w14:paraId="052B1BD2" w14:textId="77777777">
        <w:trPr>
          <w:cantSplit/>
          <w:jc w:val="center"/>
        </w:trPr>
        <w:tc>
          <w:tcPr>
            <w:tcW w:w="1440" w:type="dxa"/>
          </w:tcPr>
          <w:p w14:paraId="7431F0AF"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3AEB6D86"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74D58292"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3DFF1386"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7D9CD883"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6871470D" w14:textId="77777777">
        <w:trPr>
          <w:cantSplit/>
          <w:jc w:val="center"/>
        </w:trPr>
        <w:tc>
          <w:tcPr>
            <w:tcW w:w="1440" w:type="dxa"/>
          </w:tcPr>
          <w:p w14:paraId="61D6EF13"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0D9E970E"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18159DD3"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105461CD"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1038A727"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5CBFAD4A"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4067DB7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Indiana (IN)</w:t>
      </w:r>
    </w:p>
    <w:p w14:paraId="6B5BD13A"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Seventh Circuit case arising from the Southern District of Indiana and applying the federal FDCPA; it should not be described as creating a private damages claim under Indiana’s collection-agency licensing statute.</w:t>
      </w:r>
    </w:p>
    <w:p w14:paraId="3C768C3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0FED58DD" w14:textId="77777777">
        <w:trPr>
          <w:cantSplit/>
          <w:tblHeader/>
          <w:jc w:val="center"/>
        </w:trPr>
        <w:tc>
          <w:tcPr>
            <w:tcW w:w="2232" w:type="dxa"/>
            <w:shd w:val="clear" w:color="auto" w:fill="D9EAF7"/>
            <w:tcMar>
              <w:top w:w="55" w:type="dxa"/>
              <w:left w:w="55" w:type="dxa"/>
              <w:bottom w:w="55" w:type="dxa"/>
              <w:right w:w="55" w:type="dxa"/>
            </w:tcMar>
            <w:vAlign w:val="center"/>
          </w:tcPr>
          <w:p w14:paraId="2AEDF46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5C68FE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D8C55E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7BC7905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31F8961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8A2FDB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1B2C7" w14:textId="77777777">
        <w:trPr>
          <w:cantSplit/>
          <w:jc w:val="center"/>
        </w:trPr>
        <w:tc>
          <w:tcPr>
            <w:tcW w:w="2232" w:type="dxa"/>
            <w:tcMar>
              <w:top w:w="50" w:type="dxa"/>
              <w:left w:w="55" w:type="dxa"/>
              <w:bottom w:w="50" w:type="dxa"/>
              <w:right w:w="55" w:type="dxa"/>
            </w:tcMar>
          </w:tcPr>
          <w:p w14:paraId="1F76CC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Hoosier Contractors, LLC v. Gardner</w:t>
            </w:r>
          </w:p>
        </w:tc>
        <w:tc>
          <w:tcPr>
            <w:tcW w:w="1152" w:type="dxa"/>
            <w:tcMar>
              <w:top w:w="50" w:type="dxa"/>
              <w:left w:w="55" w:type="dxa"/>
              <w:bottom w:w="50" w:type="dxa"/>
              <w:right w:w="55" w:type="dxa"/>
            </w:tcMar>
          </w:tcPr>
          <w:p w14:paraId="2B9FCA1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Sup. Ct.</w:t>
            </w:r>
          </w:p>
        </w:tc>
        <w:tc>
          <w:tcPr>
            <w:tcW w:w="748" w:type="dxa"/>
            <w:tcMar>
              <w:top w:w="50" w:type="dxa"/>
              <w:left w:w="55" w:type="dxa"/>
              <w:bottom w:w="50" w:type="dxa"/>
              <w:right w:w="55" w:type="dxa"/>
            </w:tcMar>
          </w:tcPr>
          <w:p w14:paraId="2C184D6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tcMar>
              <w:top w:w="50" w:type="dxa"/>
              <w:left w:w="55" w:type="dxa"/>
              <w:bottom w:w="50" w:type="dxa"/>
              <w:right w:w="55" w:type="dxa"/>
            </w:tcMar>
          </w:tcPr>
          <w:p w14:paraId="3B5DACE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212 N.E.3d 1234</w:t>
            </w:r>
          </w:p>
        </w:tc>
        <w:tc>
          <w:tcPr>
            <w:tcW w:w="4536" w:type="dxa"/>
            <w:tcMar>
              <w:top w:w="50" w:type="dxa"/>
              <w:left w:w="55" w:type="dxa"/>
              <w:bottom w:w="50" w:type="dxa"/>
              <w:right w:w="55" w:type="dxa"/>
            </w:tcMar>
          </w:tcPr>
          <w:p w14:paraId="13BFD1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DCSA claim requires detrimental reliance and actual injury or loss; a statutory violation alone is insufficient.</w:t>
            </w:r>
          </w:p>
        </w:tc>
        <w:tc>
          <w:tcPr>
            <w:tcW w:w="3643" w:type="dxa"/>
            <w:tcMar>
              <w:top w:w="50" w:type="dxa"/>
              <w:left w:w="55" w:type="dxa"/>
              <w:bottom w:w="50" w:type="dxa"/>
              <w:right w:w="55" w:type="dxa"/>
            </w:tcMar>
          </w:tcPr>
          <w:p w14:paraId="40D0EC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deceptive act, reliance, worsened position, actual loss, and causal link.</w:t>
            </w:r>
          </w:p>
        </w:tc>
      </w:tr>
      <w:tr w:rsidR="00756B19" w:rsidRPr="00566B6A" w14:paraId="05A130AC" w14:textId="77777777">
        <w:trPr>
          <w:cantSplit/>
          <w:jc w:val="center"/>
        </w:trPr>
        <w:tc>
          <w:tcPr>
            <w:tcW w:w="2232" w:type="dxa"/>
            <w:shd w:val="clear" w:color="auto" w:fill="F7FAFC"/>
            <w:tcMar>
              <w:top w:w="50" w:type="dxa"/>
              <w:left w:w="55" w:type="dxa"/>
              <w:bottom w:w="50" w:type="dxa"/>
              <w:right w:w="55" w:type="dxa"/>
            </w:tcMar>
          </w:tcPr>
          <w:p w14:paraId="040446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McKinney v. State</w:t>
            </w:r>
          </w:p>
        </w:tc>
        <w:tc>
          <w:tcPr>
            <w:tcW w:w="1152" w:type="dxa"/>
            <w:shd w:val="clear" w:color="auto" w:fill="F7FAFC"/>
            <w:tcMar>
              <w:top w:w="50" w:type="dxa"/>
              <w:left w:w="55" w:type="dxa"/>
              <w:bottom w:w="50" w:type="dxa"/>
              <w:right w:w="55" w:type="dxa"/>
            </w:tcMar>
          </w:tcPr>
          <w:p w14:paraId="3304E3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Sup. Ct.</w:t>
            </w:r>
          </w:p>
        </w:tc>
        <w:tc>
          <w:tcPr>
            <w:tcW w:w="748" w:type="dxa"/>
            <w:shd w:val="clear" w:color="auto" w:fill="F7FAFC"/>
            <w:tcMar>
              <w:top w:w="50" w:type="dxa"/>
              <w:left w:w="55" w:type="dxa"/>
              <w:bottom w:w="50" w:type="dxa"/>
              <w:right w:w="55" w:type="dxa"/>
            </w:tcMar>
          </w:tcPr>
          <w:p w14:paraId="5D9B2C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shd w:val="clear" w:color="auto" w:fill="F7FAFC"/>
            <w:tcMar>
              <w:top w:w="50" w:type="dxa"/>
              <w:left w:w="55" w:type="dxa"/>
              <w:bottom w:w="50" w:type="dxa"/>
              <w:right w:w="55" w:type="dxa"/>
            </w:tcMar>
          </w:tcPr>
          <w:p w14:paraId="2514BF1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693 N.E.2d 65</w:t>
            </w:r>
          </w:p>
        </w:tc>
        <w:tc>
          <w:tcPr>
            <w:tcW w:w="4536" w:type="dxa"/>
            <w:shd w:val="clear" w:color="auto" w:fill="F7FAFC"/>
            <w:tcMar>
              <w:top w:w="50" w:type="dxa"/>
              <w:left w:w="55" w:type="dxa"/>
              <w:bottom w:w="50" w:type="dxa"/>
              <w:right w:w="55" w:type="dxa"/>
            </w:tcMar>
          </w:tcPr>
          <w:p w14:paraId="27F31C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Incurable acts require intent to defraud or mislead; most enumerated deceptive acts do not. Fraud-based allegations require particularity.</w:t>
            </w:r>
          </w:p>
        </w:tc>
        <w:tc>
          <w:tcPr>
            <w:tcW w:w="3643" w:type="dxa"/>
            <w:shd w:val="clear" w:color="auto" w:fill="F7FAFC"/>
            <w:tcMar>
              <w:top w:w="50" w:type="dxa"/>
              <w:left w:w="55" w:type="dxa"/>
              <w:bottom w:w="50" w:type="dxa"/>
              <w:right w:w="55" w:type="dxa"/>
            </w:tcMar>
          </w:tcPr>
          <w:p w14:paraId="34A6FF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act; preserve notice/cure history, intent evidence, and the who, what, when, where, and how.</w:t>
            </w:r>
          </w:p>
        </w:tc>
      </w:tr>
    </w:tbl>
    <w:p w14:paraId="13D4DB94" w14:textId="77777777" w:rsidR="00756B19" w:rsidRPr="00566B6A" w:rsidRDefault="00756B19">
      <w:pPr>
        <w:spacing w:after="20"/>
        <w:rPr>
          <w:rFonts w:ascii="Courier New" w:hAnsi="Courier New" w:cs="Courier New"/>
          <w:sz w:val="22"/>
        </w:rPr>
      </w:pPr>
    </w:p>
    <w:p w14:paraId="67F86CDE"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A7F6F27" w14:textId="77777777">
        <w:trPr>
          <w:cantSplit/>
          <w:tblHeader/>
          <w:jc w:val="center"/>
        </w:trPr>
        <w:tc>
          <w:tcPr>
            <w:tcW w:w="2232" w:type="dxa"/>
            <w:shd w:val="clear" w:color="auto" w:fill="D9EAF7"/>
            <w:tcMar>
              <w:top w:w="55" w:type="dxa"/>
              <w:left w:w="55" w:type="dxa"/>
              <w:bottom w:w="55" w:type="dxa"/>
              <w:right w:w="55" w:type="dxa"/>
            </w:tcMar>
            <w:vAlign w:val="center"/>
          </w:tcPr>
          <w:p w14:paraId="4075720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4A3D67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C67C3B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43CB07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5EF6837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21F013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2F058B9" w14:textId="77777777">
        <w:trPr>
          <w:cantSplit/>
          <w:jc w:val="center"/>
        </w:trPr>
        <w:tc>
          <w:tcPr>
            <w:tcW w:w="2232" w:type="dxa"/>
            <w:tcMar>
              <w:top w:w="50" w:type="dxa"/>
              <w:left w:w="55" w:type="dxa"/>
              <w:bottom w:w="50" w:type="dxa"/>
              <w:right w:w="55" w:type="dxa"/>
            </w:tcMar>
          </w:tcPr>
          <w:p w14:paraId="35D81DE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Lavallee v. Med-1 Solutions, LLC</w:t>
            </w:r>
          </w:p>
        </w:tc>
        <w:tc>
          <w:tcPr>
            <w:tcW w:w="1152" w:type="dxa"/>
            <w:tcMar>
              <w:top w:w="50" w:type="dxa"/>
              <w:left w:w="55" w:type="dxa"/>
              <w:bottom w:w="50" w:type="dxa"/>
              <w:right w:w="55" w:type="dxa"/>
            </w:tcMar>
          </w:tcPr>
          <w:p w14:paraId="3EFF447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7th Cir.</w:t>
            </w:r>
          </w:p>
        </w:tc>
        <w:tc>
          <w:tcPr>
            <w:tcW w:w="748" w:type="dxa"/>
            <w:tcMar>
              <w:top w:w="50" w:type="dxa"/>
              <w:left w:w="55" w:type="dxa"/>
              <w:bottom w:w="50" w:type="dxa"/>
              <w:right w:w="55" w:type="dxa"/>
            </w:tcMar>
          </w:tcPr>
          <w:p w14:paraId="61F249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26ECE7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932 F.3d 1049</w:t>
            </w:r>
          </w:p>
        </w:tc>
        <w:tc>
          <w:tcPr>
            <w:tcW w:w="4536" w:type="dxa"/>
            <w:tcMar>
              <w:top w:w="50" w:type="dxa"/>
              <w:left w:w="55" w:type="dxa"/>
              <w:bottom w:w="50" w:type="dxa"/>
              <w:right w:w="55" w:type="dxa"/>
            </w:tcMar>
          </w:tcPr>
          <w:p w14:paraId="698B81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Emails linking to a notice did not themselves convey debt information or FDCPA disclosures; the required written validation notice was not sent.</w:t>
            </w:r>
          </w:p>
        </w:tc>
        <w:tc>
          <w:tcPr>
            <w:tcW w:w="3643" w:type="dxa"/>
            <w:tcMar>
              <w:top w:w="50" w:type="dxa"/>
              <w:left w:w="55" w:type="dxa"/>
              <w:bottom w:w="50" w:type="dxa"/>
              <w:right w:w="55" w:type="dxa"/>
            </w:tcMar>
          </w:tcPr>
          <w:p w14:paraId="2800D4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call, emails, links, access logs, notice, dates, debt information, and proof of delivery.</w:t>
            </w:r>
          </w:p>
        </w:tc>
      </w:tr>
    </w:tbl>
    <w:p w14:paraId="1988770B" w14:textId="77777777" w:rsidR="00756B19" w:rsidRPr="00566B6A" w:rsidRDefault="00756B19">
      <w:pPr>
        <w:spacing w:after="20"/>
        <w:rPr>
          <w:rFonts w:ascii="Courier New" w:hAnsi="Courier New" w:cs="Courier New"/>
          <w:sz w:val="22"/>
        </w:rPr>
      </w:pPr>
    </w:p>
    <w:p w14:paraId="234B9F9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484AAF4" w14:textId="77777777">
        <w:trPr>
          <w:cantSplit/>
          <w:tblHeader/>
          <w:jc w:val="center"/>
        </w:trPr>
        <w:tc>
          <w:tcPr>
            <w:tcW w:w="2232" w:type="dxa"/>
            <w:shd w:val="clear" w:color="auto" w:fill="D9EAF7"/>
            <w:tcMar>
              <w:top w:w="55" w:type="dxa"/>
              <w:left w:w="55" w:type="dxa"/>
              <w:bottom w:w="55" w:type="dxa"/>
              <w:right w:w="55" w:type="dxa"/>
            </w:tcMar>
            <w:vAlign w:val="center"/>
          </w:tcPr>
          <w:p w14:paraId="2735247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CC5ACB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67F07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5261B71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9B9F32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DB2EEE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BBE2329" w14:textId="77777777">
        <w:trPr>
          <w:cantSplit/>
          <w:jc w:val="center"/>
        </w:trPr>
        <w:tc>
          <w:tcPr>
            <w:tcW w:w="2232" w:type="dxa"/>
            <w:tcMar>
              <w:top w:w="50" w:type="dxa"/>
              <w:left w:w="55" w:type="dxa"/>
              <w:bottom w:w="50" w:type="dxa"/>
              <w:right w:w="55" w:type="dxa"/>
            </w:tcMar>
          </w:tcPr>
          <w:p w14:paraId="409F16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Hoosier Contractors, LLC v. Gardner</w:t>
            </w:r>
          </w:p>
        </w:tc>
        <w:tc>
          <w:tcPr>
            <w:tcW w:w="1152" w:type="dxa"/>
            <w:tcMar>
              <w:top w:w="50" w:type="dxa"/>
              <w:left w:w="55" w:type="dxa"/>
              <w:bottom w:w="50" w:type="dxa"/>
              <w:right w:w="55" w:type="dxa"/>
            </w:tcMar>
          </w:tcPr>
          <w:p w14:paraId="3232E2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Sup. Ct.</w:t>
            </w:r>
          </w:p>
        </w:tc>
        <w:tc>
          <w:tcPr>
            <w:tcW w:w="748" w:type="dxa"/>
            <w:tcMar>
              <w:top w:w="50" w:type="dxa"/>
              <w:left w:w="55" w:type="dxa"/>
              <w:bottom w:w="50" w:type="dxa"/>
              <w:right w:w="55" w:type="dxa"/>
            </w:tcMar>
          </w:tcPr>
          <w:p w14:paraId="651980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tcMar>
              <w:top w:w="50" w:type="dxa"/>
              <w:left w:w="55" w:type="dxa"/>
              <w:bottom w:w="50" w:type="dxa"/>
              <w:right w:w="55" w:type="dxa"/>
            </w:tcMar>
          </w:tcPr>
          <w:p w14:paraId="1E5EB6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212 N.E.3d 1234</w:t>
            </w:r>
          </w:p>
        </w:tc>
        <w:tc>
          <w:tcPr>
            <w:tcW w:w="4536" w:type="dxa"/>
            <w:tcMar>
              <w:top w:w="50" w:type="dxa"/>
              <w:left w:w="55" w:type="dxa"/>
              <w:bottom w:w="50" w:type="dxa"/>
              <w:right w:w="55" w:type="dxa"/>
            </w:tcMar>
          </w:tcPr>
          <w:p w14:paraId="329774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DCSA claim requires detrimental reliance and actual injury or loss; a statutory violation alone is insufficient.</w:t>
            </w:r>
          </w:p>
        </w:tc>
        <w:tc>
          <w:tcPr>
            <w:tcW w:w="3643" w:type="dxa"/>
            <w:tcMar>
              <w:top w:w="50" w:type="dxa"/>
              <w:left w:w="55" w:type="dxa"/>
              <w:bottom w:w="50" w:type="dxa"/>
              <w:right w:w="55" w:type="dxa"/>
            </w:tcMar>
          </w:tcPr>
          <w:p w14:paraId="7758263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deceptive act, reliance, worsened position, actual loss, and causal link.</w:t>
            </w:r>
          </w:p>
        </w:tc>
      </w:tr>
      <w:tr w:rsidR="00756B19" w:rsidRPr="00566B6A" w14:paraId="701769A8" w14:textId="77777777">
        <w:trPr>
          <w:cantSplit/>
          <w:jc w:val="center"/>
        </w:trPr>
        <w:tc>
          <w:tcPr>
            <w:tcW w:w="2232" w:type="dxa"/>
            <w:shd w:val="clear" w:color="auto" w:fill="F7FAFC"/>
            <w:tcMar>
              <w:top w:w="50" w:type="dxa"/>
              <w:left w:w="55" w:type="dxa"/>
              <w:bottom w:w="50" w:type="dxa"/>
              <w:right w:w="55" w:type="dxa"/>
            </w:tcMar>
          </w:tcPr>
          <w:p w14:paraId="18578B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McKinney v. State</w:t>
            </w:r>
          </w:p>
        </w:tc>
        <w:tc>
          <w:tcPr>
            <w:tcW w:w="1152" w:type="dxa"/>
            <w:shd w:val="clear" w:color="auto" w:fill="F7FAFC"/>
            <w:tcMar>
              <w:top w:w="50" w:type="dxa"/>
              <w:left w:w="55" w:type="dxa"/>
              <w:bottom w:w="50" w:type="dxa"/>
              <w:right w:w="55" w:type="dxa"/>
            </w:tcMar>
          </w:tcPr>
          <w:p w14:paraId="717D48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Sup. Ct.</w:t>
            </w:r>
          </w:p>
        </w:tc>
        <w:tc>
          <w:tcPr>
            <w:tcW w:w="748" w:type="dxa"/>
            <w:shd w:val="clear" w:color="auto" w:fill="F7FAFC"/>
            <w:tcMar>
              <w:top w:w="50" w:type="dxa"/>
              <w:left w:w="55" w:type="dxa"/>
              <w:bottom w:w="50" w:type="dxa"/>
              <w:right w:w="55" w:type="dxa"/>
            </w:tcMar>
          </w:tcPr>
          <w:p w14:paraId="6E5A43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shd w:val="clear" w:color="auto" w:fill="F7FAFC"/>
            <w:tcMar>
              <w:top w:w="50" w:type="dxa"/>
              <w:left w:w="55" w:type="dxa"/>
              <w:bottom w:w="50" w:type="dxa"/>
              <w:right w:w="55" w:type="dxa"/>
            </w:tcMar>
          </w:tcPr>
          <w:p w14:paraId="17E814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693 N.E.2d 65</w:t>
            </w:r>
          </w:p>
        </w:tc>
        <w:tc>
          <w:tcPr>
            <w:tcW w:w="4536" w:type="dxa"/>
            <w:shd w:val="clear" w:color="auto" w:fill="F7FAFC"/>
            <w:tcMar>
              <w:top w:w="50" w:type="dxa"/>
              <w:left w:w="55" w:type="dxa"/>
              <w:bottom w:w="50" w:type="dxa"/>
              <w:right w:w="55" w:type="dxa"/>
            </w:tcMar>
          </w:tcPr>
          <w:p w14:paraId="3D71A8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Incurable acts require intent to defraud or mislead; most enumerated deceptive acts do not. Fraud-based allegations require particularity.</w:t>
            </w:r>
          </w:p>
        </w:tc>
        <w:tc>
          <w:tcPr>
            <w:tcW w:w="3643" w:type="dxa"/>
            <w:shd w:val="clear" w:color="auto" w:fill="F7FAFC"/>
            <w:tcMar>
              <w:top w:w="50" w:type="dxa"/>
              <w:left w:w="55" w:type="dxa"/>
              <w:bottom w:w="50" w:type="dxa"/>
              <w:right w:w="55" w:type="dxa"/>
            </w:tcMar>
          </w:tcPr>
          <w:p w14:paraId="4C6595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act; preserve notice/cure history, intent evidence, and the who, what, when, where, and how.</w:t>
            </w:r>
          </w:p>
        </w:tc>
      </w:tr>
      <w:tr w:rsidR="00756B19" w:rsidRPr="00566B6A" w14:paraId="78EA60C2" w14:textId="77777777">
        <w:trPr>
          <w:cantSplit/>
          <w:jc w:val="center"/>
        </w:trPr>
        <w:tc>
          <w:tcPr>
            <w:tcW w:w="2232" w:type="dxa"/>
            <w:tcMar>
              <w:top w:w="50" w:type="dxa"/>
              <w:left w:w="55" w:type="dxa"/>
              <w:bottom w:w="50" w:type="dxa"/>
              <w:right w:w="55" w:type="dxa"/>
            </w:tcMar>
          </w:tcPr>
          <w:p w14:paraId="4D3D3B3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Lavallee v. Med-1 Solutions, LLC</w:t>
            </w:r>
          </w:p>
        </w:tc>
        <w:tc>
          <w:tcPr>
            <w:tcW w:w="1152" w:type="dxa"/>
            <w:tcMar>
              <w:top w:w="50" w:type="dxa"/>
              <w:left w:w="55" w:type="dxa"/>
              <w:bottom w:w="50" w:type="dxa"/>
              <w:right w:w="55" w:type="dxa"/>
            </w:tcMar>
          </w:tcPr>
          <w:p w14:paraId="411621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7th Cir.</w:t>
            </w:r>
          </w:p>
        </w:tc>
        <w:tc>
          <w:tcPr>
            <w:tcW w:w="748" w:type="dxa"/>
            <w:tcMar>
              <w:top w:w="50" w:type="dxa"/>
              <w:left w:w="55" w:type="dxa"/>
              <w:bottom w:w="50" w:type="dxa"/>
              <w:right w:w="55" w:type="dxa"/>
            </w:tcMar>
          </w:tcPr>
          <w:p w14:paraId="09036D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638E88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932 F.3d 1049</w:t>
            </w:r>
          </w:p>
        </w:tc>
        <w:tc>
          <w:tcPr>
            <w:tcW w:w="4536" w:type="dxa"/>
            <w:tcMar>
              <w:top w:w="50" w:type="dxa"/>
              <w:left w:w="55" w:type="dxa"/>
              <w:bottom w:w="50" w:type="dxa"/>
              <w:right w:w="55" w:type="dxa"/>
            </w:tcMar>
          </w:tcPr>
          <w:p w14:paraId="6E184F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Emails linking to a notice did not themselves convey debt information or FDCPA disclosures; the required written validation notice was not sent.</w:t>
            </w:r>
          </w:p>
        </w:tc>
        <w:tc>
          <w:tcPr>
            <w:tcW w:w="3643" w:type="dxa"/>
            <w:tcMar>
              <w:top w:w="50" w:type="dxa"/>
              <w:left w:w="55" w:type="dxa"/>
              <w:bottom w:w="50" w:type="dxa"/>
              <w:right w:w="55" w:type="dxa"/>
            </w:tcMar>
          </w:tcPr>
          <w:p w14:paraId="35AAEA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call, emails, links, access logs, notice, dates, debt information, and proof of delivery.</w:t>
            </w:r>
          </w:p>
        </w:tc>
      </w:tr>
    </w:tbl>
    <w:p w14:paraId="528EF0CE" w14:textId="77777777" w:rsidR="00756B19" w:rsidRPr="00566B6A" w:rsidRDefault="00756B19">
      <w:pPr>
        <w:spacing w:after="20"/>
        <w:rPr>
          <w:rFonts w:ascii="Courier New" w:hAnsi="Courier New" w:cs="Courier New"/>
          <w:sz w:val="22"/>
        </w:rPr>
      </w:pPr>
    </w:p>
    <w:p w14:paraId="50B8F24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6232F5F7"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5812E7B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85008E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61738E2A"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Indiana claims that duplicate or conflict with those duties may be preemption-sensitive.</w:t>
      </w:r>
    </w:p>
    <w:p w14:paraId="2921DD31" w14:textId="77777777" w:rsidR="00964317" w:rsidRPr="00566B6A" w:rsidRDefault="00964317">
      <w:pPr>
        <w:spacing w:after="60"/>
        <w:rPr>
          <w:rFonts w:ascii="Courier New" w:hAnsi="Courier New" w:cs="Courier New"/>
          <w:sz w:val="22"/>
        </w:rPr>
      </w:pPr>
    </w:p>
    <w:p w14:paraId="132F64E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18CD9579" w14:textId="77777777">
        <w:trPr>
          <w:cantSplit/>
          <w:tblHeader/>
          <w:jc w:val="center"/>
        </w:trPr>
        <w:tc>
          <w:tcPr>
            <w:tcW w:w="2232" w:type="dxa"/>
            <w:shd w:val="clear" w:color="auto" w:fill="D9EAF7"/>
            <w:tcMar>
              <w:top w:w="55" w:type="dxa"/>
              <w:left w:w="55" w:type="dxa"/>
              <w:bottom w:w="55" w:type="dxa"/>
              <w:right w:w="55" w:type="dxa"/>
            </w:tcMar>
            <w:vAlign w:val="center"/>
          </w:tcPr>
          <w:p w14:paraId="1C3F1CC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3C3EF75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Indiana Authority</w:t>
            </w:r>
          </w:p>
        </w:tc>
        <w:tc>
          <w:tcPr>
            <w:tcW w:w="1080" w:type="dxa"/>
            <w:shd w:val="clear" w:color="auto" w:fill="D9EAF7"/>
            <w:tcMar>
              <w:top w:w="55" w:type="dxa"/>
              <w:left w:w="55" w:type="dxa"/>
              <w:bottom w:w="55" w:type="dxa"/>
              <w:right w:w="55" w:type="dxa"/>
            </w:tcMar>
            <w:vAlign w:val="center"/>
          </w:tcPr>
          <w:p w14:paraId="56A3E60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68BB719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7A0123F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241CD928" w14:textId="77777777">
        <w:trPr>
          <w:cantSplit/>
          <w:jc w:val="center"/>
        </w:trPr>
        <w:tc>
          <w:tcPr>
            <w:tcW w:w="2232" w:type="dxa"/>
            <w:tcMar>
              <w:top w:w="50" w:type="dxa"/>
              <w:left w:w="55" w:type="dxa"/>
              <w:bottom w:w="50" w:type="dxa"/>
              <w:right w:w="55" w:type="dxa"/>
            </w:tcMar>
          </w:tcPr>
          <w:p w14:paraId="21EBF53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742BD4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Indiana mini-FCRA; Ind. Code ch. 24-5-24 addresses freezes</w:t>
            </w:r>
          </w:p>
        </w:tc>
        <w:tc>
          <w:tcPr>
            <w:tcW w:w="1080" w:type="dxa"/>
            <w:tcMar>
              <w:top w:w="50" w:type="dxa"/>
              <w:left w:w="55" w:type="dxa"/>
              <w:bottom w:w="50" w:type="dxa"/>
              <w:right w:w="55" w:type="dxa"/>
            </w:tcMar>
          </w:tcPr>
          <w:p w14:paraId="50735E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7507C09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45749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Indiana accuracy duties without authority.</w:t>
            </w:r>
          </w:p>
        </w:tc>
      </w:tr>
      <w:tr w:rsidR="00756B19" w:rsidRPr="00566B6A" w14:paraId="469B8B8C" w14:textId="77777777">
        <w:trPr>
          <w:cantSplit/>
          <w:jc w:val="center"/>
        </w:trPr>
        <w:tc>
          <w:tcPr>
            <w:tcW w:w="2232" w:type="dxa"/>
            <w:shd w:val="clear" w:color="auto" w:fill="F7FAFC"/>
            <w:tcMar>
              <w:top w:w="50" w:type="dxa"/>
              <w:left w:w="55" w:type="dxa"/>
              <w:bottom w:w="50" w:type="dxa"/>
              <w:right w:w="55" w:type="dxa"/>
            </w:tcMar>
          </w:tcPr>
          <w:p w14:paraId="01C396D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477DAE1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Indiana law only for factually distinct conduct</w:t>
            </w:r>
          </w:p>
        </w:tc>
        <w:tc>
          <w:tcPr>
            <w:tcW w:w="1080" w:type="dxa"/>
            <w:shd w:val="clear" w:color="auto" w:fill="F7FAFC"/>
            <w:tcMar>
              <w:top w:w="50" w:type="dxa"/>
              <w:left w:w="55" w:type="dxa"/>
              <w:bottom w:w="50" w:type="dxa"/>
              <w:right w:w="55" w:type="dxa"/>
            </w:tcMar>
          </w:tcPr>
          <w:p w14:paraId="3B8D4E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3704A0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478B50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67032068" w14:textId="77777777">
        <w:trPr>
          <w:cantSplit/>
          <w:jc w:val="center"/>
        </w:trPr>
        <w:tc>
          <w:tcPr>
            <w:tcW w:w="2232" w:type="dxa"/>
            <w:tcMar>
              <w:top w:w="50" w:type="dxa"/>
              <w:left w:w="55" w:type="dxa"/>
              <w:bottom w:w="50" w:type="dxa"/>
              <w:right w:w="55" w:type="dxa"/>
            </w:tcMar>
          </w:tcPr>
          <w:p w14:paraId="5845664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7971ABA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35-43-5-3.5; federal FCRA</w:t>
            </w:r>
          </w:p>
        </w:tc>
        <w:tc>
          <w:tcPr>
            <w:tcW w:w="1080" w:type="dxa"/>
            <w:tcMar>
              <w:top w:w="50" w:type="dxa"/>
              <w:left w:w="55" w:type="dxa"/>
              <w:bottom w:w="50" w:type="dxa"/>
              <w:right w:w="55" w:type="dxa"/>
            </w:tcMar>
          </w:tcPr>
          <w:p w14:paraId="18D200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4B62687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94E2C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fraudulent items, freeze and block requests, CRA notices, and decisions.</w:t>
            </w:r>
          </w:p>
        </w:tc>
      </w:tr>
      <w:tr w:rsidR="00756B19" w:rsidRPr="00566B6A" w14:paraId="283F01E8" w14:textId="77777777">
        <w:trPr>
          <w:cantSplit/>
          <w:jc w:val="center"/>
        </w:trPr>
        <w:tc>
          <w:tcPr>
            <w:tcW w:w="2232" w:type="dxa"/>
            <w:shd w:val="clear" w:color="auto" w:fill="F7FAFC"/>
            <w:tcMar>
              <w:top w:w="50" w:type="dxa"/>
              <w:left w:w="55" w:type="dxa"/>
              <w:bottom w:w="50" w:type="dxa"/>
              <w:right w:w="55" w:type="dxa"/>
            </w:tcMar>
          </w:tcPr>
          <w:p w14:paraId="7DFF1B3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 collection conduct</w:t>
            </w:r>
          </w:p>
        </w:tc>
        <w:tc>
          <w:tcPr>
            <w:tcW w:w="3096" w:type="dxa"/>
            <w:shd w:val="clear" w:color="auto" w:fill="F7FAFC"/>
            <w:tcMar>
              <w:top w:w="50" w:type="dxa"/>
              <w:left w:w="55" w:type="dxa"/>
              <w:bottom w:w="50" w:type="dxa"/>
              <w:right w:w="55" w:type="dxa"/>
            </w:tcMar>
          </w:tcPr>
          <w:p w14:paraId="3EC4A46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25-11-1-1–16; federal FDCPA</w:t>
            </w:r>
          </w:p>
        </w:tc>
        <w:tc>
          <w:tcPr>
            <w:tcW w:w="1080" w:type="dxa"/>
            <w:shd w:val="clear" w:color="auto" w:fill="F7FAFC"/>
            <w:tcMar>
              <w:top w:w="50" w:type="dxa"/>
              <w:left w:w="55" w:type="dxa"/>
              <w:bottom w:w="50" w:type="dxa"/>
              <w:right w:w="55" w:type="dxa"/>
            </w:tcMar>
          </w:tcPr>
          <w:p w14:paraId="18E350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63A1310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39E1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registration and actor status; preserve communications, validation records, assignment, account records, and venue.</w:t>
            </w:r>
          </w:p>
        </w:tc>
      </w:tr>
      <w:tr w:rsidR="00756B19" w:rsidRPr="00566B6A" w14:paraId="4717BB0F" w14:textId="77777777">
        <w:trPr>
          <w:cantSplit/>
          <w:jc w:val="center"/>
        </w:trPr>
        <w:tc>
          <w:tcPr>
            <w:tcW w:w="2232" w:type="dxa"/>
            <w:tcMar>
              <w:top w:w="50" w:type="dxa"/>
              <w:left w:w="55" w:type="dxa"/>
              <w:bottom w:w="50" w:type="dxa"/>
              <w:right w:w="55" w:type="dxa"/>
            </w:tcMar>
          </w:tcPr>
          <w:p w14:paraId="1438EE1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67127C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24-5-24-1–17</w:t>
            </w:r>
          </w:p>
        </w:tc>
        <w:tc>
          <w:tcPr>
            <w:tcW w:w="1080" w:type="dxa"/>
            <w:tcMar>
              <w:top w:w="50" w:type="dxa"/>
              <w:left w:w="55" w:type="dxa"/>
              <w:bottom w:w="50" w:type="dxa"/>
              <w:right w:w="55" w:type="dxa"/>
            </w:tcMar>
          </w:tcPr>
          <w:p w14:paraId="4B3CA23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028D7E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69F069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change notices, lift/removal requests, and resulting damages.</w:t>
            </w:r>
          </w:p>
        </w:tc>
      </w:tr>
      <w:tr w:rsidR="00756B19" w:rsidRPr="00566B6A" w14:paraId="6BFEC6FB" w14:textId="77777777">
        <w:trPr>
          <w:cantSplit/>
          <w:jc w:val="center"/>
        </w:trPr>
        <w:tc>
          <w:tcPr>
            <w:tcW w:w="2232" w:type="dxa"/>
            <w:shd w:val="clear" w:color="auto" w:fill="F7FAFC"/>
            <w:tcMar>
              <w:top w:w="50" w:type="dxa"/>
              <w:left w:w="55" w:type="dxa"/>
              <w:bottom w:w="50" w:type="dxa"/>
              <w:right w:w="55" w:type="dxa"/>
            </w:tcMar>
          </w:tcPr>
          <w:p w14:paraId="74700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083A39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Code §§ 24-4.9-1-1–5-1</w:t>
            </w:r>
          </w:p>
        </w:tc>
        <w:tc>
          <w:tcPr>
            <w:tcW w:w="1080" w:type="dxa"/>
            <w:shd w:val="clear" w:color="auto" w:fill="F7FAFC"/>
            <w:tcMar>
              <w:top w:w="50" w:type="dxa"/>
              <w:left w:w="55" w:type="dxa"/>
              <w:bottom w:w="50" w:type="dxa"/>
              <w:right w:w="55" w:type="dxa"/>
            </w:tcMar>
          </w:tcPr>
          <w:p w14:paraId="3CB1FA6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2DF17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138EE54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resident/CRA/AG notices, dates, delay records, and remediation.</w:t>
            </w:r>
          </w:p>
        </w:tc>
      </w:tr>
      <w:tr w:rsidR="00756B19" w:rsidRPr="00566B6A" w14:paraId="3FB87FA2" w14:textId="77777777">
        <w:trPr>
          <w:cantSplit/>
          <w:jc w:val="center"/>
        </w:trPr>
        <w:tc>
          <w:tcPr>
            <w:tcW w:w="2232" w:type="dxa"/>
            <w:tcMar>
              <w:top w:w="50" w:type="dxa"/>
              <w:left w:w="55" w:type="dxa"/>
              <w:bottom w:w="50" w:type="dxa"/>
              <w:right w:w="55" w:type="dxa"/>
            </w:tcMar>
          </w:tcPr>
          <w:p w14:paraId="282484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1BFBB2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DCSA, Ind. Code §§ 24-5-0.5-1–12</w:t>
            </w:r>
          </w:p>
        </w:tc>
        <w:tc>
          <w:tcPr>
            <w:tcW w:w="1080" w:type="dxa"/>
            <w:tcMar>
              <w:top w:w="50" w:type="dxa"/>
              <w:left w:w="55" w:type="dxa"/>
              <w:bottom w:w="50" w:type="dxa"/>
              <w:right w:w="55" w:type="dxa"/>
            </w:tcMar>
          </w:tcPr>
          <w:p w14:paraId="21FFE68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713BE3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219DD9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the consumer transaction, deceptive act, reliance, actual damage, notice/cure status, and two-year timing.</w:t>
            </w:r>
          </w:p>
        </w:tc>
      </w:tr>
    </w:tbl>
    <w:p w14:paraId="2405499D" w14:textId="77777777" w:rsidR="00756B19" w:rsidRPr="00566B6A" w:rsidRDefault="00756B19">
      <w:pPr>
        <w:spacing w:after="20"/>
        <w:rPr>
          <w:rFonts w:ascii="Courier New" w:hAnsi="Courier New" w:cs="Courier New"/>
          <w:sz w:val="22"/>
        </w:rPr>
      </w:pPr>
    </w:p>
    <w:p w14:paraId="79E5C4C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identity-deception conduct, distinct collection communications, collection-agency licensing violations, security-freeze violations, breach-notification duties, and DCSA deception factually distinct from CRA or furnisher reporting obligations.</w:t>
      </w:r>
    </w:p>
    <w:p w14:paraId="7EBA0D3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Indiana claims that attempt to impose accuracy, reinvestigation, or furnishing duties parallel to the FCRA without a preserved state provision or factually distinct conduct.</w:t>
      </w:r>
    </w:p>
    <w:p w14:paraId="42999613"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191F3F6E"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5ED12159"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17F92AA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4CE5070E"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094C7024"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5476D691"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5 — </w:t>
      </w:r>
      <w:r w:rsidRPr="00566B6A">
        <w:rPr>
          <w:rFonts w:ascii="Courier New" w:hAnsi="Courier New" w:cs="Courier New"/>
          <w:sz w:val="22"/>
        </w:rPr>
        <w:t>File an Indiana complaint with the Attorney General’s Consumer Protection Division, Secretary of State Securities Division, or Department of Financial Institutions as the subject and agency jurisdiction require; retain confirmation numbers.</w:t>
      </w:r>
    </w:p>
    <w:p w14:paraId="6E124912"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4E8A33EB"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26F6AC4B"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603C7EA1" w14:textId="77777777" w:rsidR="00964317" w:rsidRPr="00566B6A" w:rsidRDefault="00964317">
      <w:pPr>
        <w:ind w:left="72"/>
        <w:rPr>
          <w:rFonts w:ascii="Courier New" w:hAnsi="Courier New" w:cs="Courier New"/>
          <w:sz w:val="22"/>
        </w:rPr>
      </w:pPr>
    </w:p>
    <w:p w14:paraId="0BD2C7F9"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304E5AFF"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4B5AEEEA" w14:textId="77777777">
        <w:trPr>
          <w:cantSplit/>
          <w:tblHeader/>
          <w:jc w:val="center"/>
        </w:trPr>
        <w:tc>
          <w:tcPr>
            <w:tcW w:w="6048" w:type="dxa"/>
            <w:shd w:val="clear" w:color="auto" w:fill="D9EAF7"/>
            <w:tcMar>
              <w:top w:w="55" w:type="dxa"/>
              <w:left w:w="55" w:type="dxa"/>
              <w:bottom w:w="55" w:type="dxa"/>
              <w:right w:w="55" w:type="dxa"/>
            </w:tcMar>
            <w:vAlign w:val="center"/>
          </w:tcPr>
          <w:p w14:paraId="4905C3A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7D3091E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50193058" w14:textId="77777777">
        <w:trPr>
          <w:cantSplit/>
          <w:jc w:val="center"/>
        </w:trPr>
        <w:tc>
          <w:tcPr>
            <w:tcW w:w="6048" w:type="dxa"/>
            <w:tcMar>
              <w:top w:w="50" w:type="dxa"/>
              <w:left w:w="55" w:type="dxa"/>
              <w:bottom w:w="50" w:type="dxa"/>
              <w:right w:w="55" w:type="dxa"/>
            </w:tcMar>
          </w:tcPr>
          <w:p w14:paraId="7A8C5B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7597801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A60CDD" w14:textId="77777777">
        <w:trPr>
          <w:cantSplit/>
          <w:jc w:val="center"/>
        </w:trPr>
        <w:tc>
          <w:tcPr>
            <w:tcW w:w="6048" w:type="dxa"/>
            <w:shd w:val="clear" w:color="auto" w:fill="F7FAFC"/>
            <w:tcMar>
              <w:top w:w="50" w:type="dxa"/>
              <w:left w:w="55" w:type="dxa"/>
              <w:bottom w:w="50" w:type="dxa"/>
              <w:right w:w="55" w:type="dxa"/>
            </w:tcMar>
          </w:tcPr>
          <w:p w14:paraId="716078E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1D0B4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28A03B2C" w14:textId="77777777">
        <w:trPr>
          <w:cantSplit/>
          <w:jc w:val="center"/>
        </w:trPr>
        <w:tc>
          <w:tcPr>
            <w:tcW w:w="6048" w:type="dxa"/>
            <w:tcMar>
              <w:top w:w="50" w:type="dxa"/>
              <w:left w:w="55" w:type="dxa"/>
              <w:bottom w:w="50" w:type="dxa"/>
              <w:right w:w="55" w:type="dxa"/>
            </w:tcMar>
          </w:tcPr>
          <w:p w14:paraId="5E4851F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77CC5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5E43C257" w14:textId="77777777">
        <w:trPr>
          <w:cantSplit/>
          <w:jc w:val="center"/>
        </w:trPr>
        <w:tc>
          <w:tcPr>
            <w:tcW w:w="6048" w:type="dxa"/>
            <w:shd w:val="clear" w:color="auto" w:fill="F7FAFC"/>
            <w:tcMar>
              <w:top w:w="50" w:type="dxa"/>
              <w:left w:w="55" w:type="dxa"/>
              <w:bottom w:w="50" w:type="dxa"/>
              <w:right w:w="55" w:type="dxa"/>
            </w:tcMar>
          </w:tcPr>
          <w:p w14:paraId="260ACA5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Indiana AG / Secretary of State / DFI complaint + agency ID</w:t>
            </w:r>
          </w:p>
        </w:tc>
        <w:tc>
          <w:tcPr>
            <w:tcW w:w="8352" w:type="dxa"/>
            <w:shd w:val="clear" w:color="auto" w:fill="F7FAFC"/>
            <w:tcMar>
              <w:top w:w="50" w:type="dxa"/>
              <w:left w:w="55" w:type="dxa"/>
              <w:bottom w:w="50" w:type="dxa"/>
              <w:right w:w="55" w:type="dxa"/>
            </w:tcMar>
          </w:tcPr>
          <w:p w14:paraId="070177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1D1CA46A" w14:textId="77777777">
        <w:trPr>
          <w:cantSplit/>
          <w:jc w:val="center"/>
        </w:trPr>
        <w:tc>
          <w:tcPr>
            <w:tcW w:w="6048" w:type="dxa"/>
            <w:tcMar>
              <w:top w:w="50" w:type="dxa"/>
              <w:left w:w="55" w:type="dxa"/>
              <w:bottom w:w="50" w:type="dxa"/>
              <w:right w:w="55" w:type="dxa"/>
            </w:tcMar>
          </w:tcPr>
          <w:p w14:paraId="68837A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170E5D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3211E5C7" w14:textId="77777777">
        <w:trPr>
          <w:cantSplit/>
          <w:jc w:val="center"/>
        </w:trPr>
        <w:tc>
          <w:tcPr>
            <w:tcW w:w="6048" w:type="dxa"/>
            <w:shd w:val="clear" w:color="auto" w:fill="F7FAFC"/>
            <w:tcMar>
              <w:top w:w="50" w:type="dxa"/>
              <w:left w:w="55" w:type="dxa"/>
              <w:bottom w:w="50" w:type="dxa"/>
              <w:right w:w="55" w:type="dxa"/>
            </w:tcMar>
          </w:tcPr>
          <w:p w14:paraId="6EDC3E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125716C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30BF7FBE" w14:textId="77777777">
        <w:trPr>
          <w:cantSplit/>
          <w:jc w:val="center"/>
        </w:trPr>
        <w:tc>
          <w:tcPr>
            <w:tcW w:w="6048" w:type="dxa"/>
            <w:tcMar>
              <w:top w:w="50" w:type="dxa"/>
              <w:left w:w="55" w:type="dxa"/>
              <w:bottom w:w="50" w:type="dxa"/>
              <w:right w:w="55" w:type="dxa"/>
            </w:tcMar>
          </w:tcPr>
          <w:p w14:paraId="73A8C51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DCSA transaction, reliance, injury, notice, cure, and damages evidence</w:t>
            </w:r>
          </w:p>
        </w:tc>
        <w:tc>
          <w:tcPr>
            <w:tcW w:w="8352" w:type="dxa"/>
            <w:tcMar>
              <w:top w:w="50" w:type="dxa"/>
              <w:left w:w="55" w:type="dxa"/>
              <w:bottom w:w="50" w:type="dxa"/>
              <w:right w:w="55" w:type="dxa"/>
            </w:tcMar>
          </w:tcPr>
          <w:p w14:paraId="2C9D7C8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transaction, deceptive act, detrimental reliance, actual damage, notice/cure, and two-year timing</w:t>
            </w:r>
          </w:p>
        </w:tc>
      </w:tr>
    </w:tbl>
    <w:p w14:paraId="3D946C0C" w14:textId="77777777" w:rsidR="00756B19" w:rsidRPr="00566B6A" w:rsidRDefault="00756B19">
      <w:pPr>
        <w:spacing w:after="20"/>
        <w:rPr>
          <w:rFonts w:ascii="Courier New" w:hAnsi="Courier New" w:cs="Courier New"/>
          <w:sz w:val="22"/>
        </w:rPr>
      </w:pPr>
    </w:p>
    <w:p w14:paraId="0201E1E7"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D4410B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5742265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1FC654C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16AF9A2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69B9C30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Identity-integrity review: addresses, aliases, mixed-file indicators, and identity-theft markers</w:t>
      </w:r>
    </w:p>
    <w:p w14:paraId="167BBCD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Indiana DCSA written notice and cure review when a qualifying consumer transaction, deceptive act, reliance, and actual damage are documented</w:t>
      </w:r>
    </w:p>
    <w:p w14:paraId="24090B2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NMLS registration, assignment, venue, and regulator-jurisdiction review</w:t>
      </w:r>
    </w:p>
    <w:p w14:paraId="09FEB39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0B3C4D1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2366762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2CCE6C6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Indiana (IN)</w:t>
      </w:r>
    </w:p>
    <w:p w14:paraId="0620E5B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371A39F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Deceptive Consumer Sales Act (DCSA) | </w:t>
      </w:r>
      <w:r w:rsidRPr="00566B6A">
        <w:rPr>
          <w:rFonts w:ascii="Courier New" w:hAnsi="Courier New" w:cs="Courier New"/>
          <w:sz w:val="22"/>
        </w:rPr>
        <w:t>Ind. Code §§ 24-5-0.5-1–12 | Remedies: actual damages or $500; enhanced willful damages, fees, injunction, and penalties where authorized; notice and two-year rules apply. | Authority: Attorney General / courts.</w:t>
      </w:r>
    </w:p>
    <w:p w14:paraId="042F467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Collection Agency Act | </w:t>
      </w:r>
      <w:r w:rsidRPr="00566B6A">
        <w:rPr>
          <w:rFonts w:ascii="Courier New" w:hAnsi="Courier New" w:cs="Courier New"/>
          <w:sz w:val="22"/>
        </w:rPr>
        <w:t>Ind. Code §§ 25-11-1-1–16 | Remedies: registration, records, discipline, orders, and civil penalties; federal FDCPA remedies may apply separately. | Authority: Secretary of State / courts.</w:t>
      </w:r>
    </w:p>
    <w:p w14:paraId="24AF663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Security-Freeze Law | </w:t>
      </w:r>
      <w:r w:rsidRPr="00566B6A">
        <w:rPr>
          <w:rFonts w:ascii="Courier New" w:hAnsi="Courier New" w:cs="Courier New"/>
          <w:sz w:val="22"/>
        </w:rPr>
        <w:t>Ind. Code §§ 24-5-24-1–17 | Remedies: freeze placement, lift/removal, damages, punitive relief, costs, fees, and AG penalties where authorized. | Authority: courts / CRAs / Attorney General.</w:t>
      </w:r>
    </w:p>
    <w:p w14:paraId="77F08EF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Disclosure of Security Breach Act | </w:t>
      </w:r>
      <w:r w:rsidRPr="00566B6A">
        <w:rPr>
          <w:rFonts w:ascii="Courier New" w:hAnsi="Courier New" w:cs="Courier New"/>
          <w:sz w:val="22"/>
        </w:rPr>
        <w:t>Ind. Code §§ 24-4.9-1-1–5-1 | Remedies: required resident, CRA, and AG notice where applicable; AG deceptive-act enforcement. | Authority: Attorney General.</w:t>
      </w:r>
    </w:p>
    <w:p w14:paraId="62AA5F4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Identity-Deception Provision | </w:t>
      </w:r>
      <w:r w:rsidRPr="00566B6A">
        <w:rPr>
          <w:rFonts w:ascii="Courier New" w:hAnsi="Courier New" w:cs="Courier New"/>
          <w:sz w:val="22"/>
        </w:rPr>
        <w:t>Ind. Code § 35-43-5-3.5 | Remedies: criminal penalties and identity-restoration records. | Authority: law enforcement / courts.</w:t>
      </w:r>
    </w:p>
    <w:p w14:paraId="3D16A2E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2875406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Collection-Agency Rules and NMLS Requirements — </w:t>
      </w:r>
      <w:r w:rsidRPr="00566B6A">
        <w:rPr>
          <w:rFonts w:ascii="Courier New" w:hAnsi="Courier New" w:cs="Courier New"/>
          <w:sz w:val="22"/>
        </w:rPr>
        <w:t>consult current Secretary of State rules, guidance, and NMLS checklists; verify the exact effective rule before use.</w:t>
      </w:r>
    </w:p>
    <w:p w14:paraId="3534953F"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3D4E65F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Attorney General — Consumer Protection Division: </w:t>
      </w:r>
      <w:r w:rsidRPr="00566B6A">
        <w:rPr>
          <w:rFonts w:ascii="Courier New" w:hAnsi="Courier New" w:cs="Courier New"/>
          <w:sz w:val="22"/>
        </w:rPr>
        <w:t>complaint intake, investigation, education, and DCSA enforcement.</w:t>
      </w:r>
    </w:p>
    <w:p w14:paraId="03AA3A3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Indiana Secretary of State — Securities Division: </w:t>
      </w:r>
      <w:r w:rsidRPr="00566B6A">
        <w:rPr>
          <w:rFonts w:ascii="Courier New" w:hAnsi="Courier New" w:cs="Courier New"/>
          <w:sz w:val="22"/>
        </w:rPr>
        <w:t>collection-agency registration, NMLS, complaints, investigations, and enforcement.</w:t>
      </w:r>
    </w:p>
    <w:p w14:paraId="34879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Indiana Department of Financial Institutions: </w:t>
      </w:r>
      <w:r w:rsidRPr="00566B6A">
        <w:rPr>
          <w:rFonts w:ascii="Courier New" w:hAnsi="Courier New" w:cs="Courier New"/>
          <w:sz w:val="22"/>
        </w:rPr>
        <w:t>complaints and oversight for covered financial and consumer-credit entities.</w:t>
      </w:r>
    </w:p>
    <w:p w14:paraId="5138869F"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00915024"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Indiana without municipal verification.</w:t>
      </w:r>
    </w:p>
    <w:p w14:paraId="61BC2867" w14:textId="77777777" w:rsidR="00964317" w:rsidRPr="00566B6A" w:rsidRDefault="00964317">
      <w:pPr>
        <w:spacing w:after="60"/>
        <w:rPr>
          <w:rFonts w:ascii="Courier New" w:hAnsi="Courier New" w:cs="Courier New"/>
          <w:sz w:val="22"/>
        </w:rPr>
      </w:pPr>
    </w:p>
    <w:p w14:paraId="0A66E18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1A321C4" w14:textId="77777777">
        <w:trPr>
          <w:cantSplit/>
          <w:tblHeader/>
          <w:jc w:val="center"/>
        </w:trPr>
        <w:tc>
          <w:tcPr>
            <w:tcW w:w="2232" w:type="dxa"/>
            <w:shd w:val="clear" w:color="auto" w:fill="D9EAF7"/>
            <w:tcMar>
              <w:top w:w="55" w:type="dxa"/>
              <w:left w:w="55" w:type="dxa"/>
              <w:bottom w:w="55" w:type="dxa"/>
              <w:right w:w="55" w:type="dxa"/>
            </w:tcMar>
            <w:vAlign w:val="center"/>
          </w:tcPr>
          <w:p w14:paraId="27E6720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4EB2222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2D6272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CA931A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51E395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2E1F5E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785B79A" w14:textId="77777777">
        <w:trPr>
          <w:cantSplit/>
          <w:jc w:val="center"/>
        </w:trPr>
        <w:tc>
          <w:tcPr>
            <w:tcW w:w="2232" w:type="dxa"/>
            <w:tcMar>
              <w:top w:w="50" w:type="dxa"/>
              <w:left w:w="55" w:type="dxa"/>
              <w:bottom w:w="50" w:type="dxa"/>
              <w:right w:w="55" w:type="dxa"/>
            </w:tcMar>
          </w:tcPr>
          <w:p w14:paraId="7A5332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Hoosier Contractors, LLC v. Gardner</w:t>
            </w:r>
          </w:p>
        </w:tc>
        <w:tc>
          <w:tcPr>
            <w:tcW w:w="1152" w:type="dxa"/>
            <w:tcMar>
              <w:top w:w="50" w:type="dxa"/>
              <w:left w:w="55" w:type="dxa"/>
              <w:bottom w:w="50" w:type="dxa"/>
              <w:right w:w="55" w:type="dxa"/>
            </w:tcMar>
          </w:tcPr>
          <w:p w14:paraId="64BD5C2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Sup. Ct.</w:t>
            </w:r>
          </w:p>
        </w:tc>
        <w:tc>
          <w:tcPr>
            <w:tcW w:w="748" w:type="dxa"/>
            <w:tcMar>
              <w:top w:w="50" w:type="dxa"/>
              <w:left w:w="55" w:type="dxa"/>
              <w:bottom w:w="50" w:type="dxa"/>
              <w:right w:w="55" w:type="dxa"/>
            </w:tcMar>
          </w:tcPr>
          <w:p w14:paraId="4F846BF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tcMar>
              <w:top w:w="50" w:type="dxa"/>
              <w:left w:w="55" w:type="dxa"/>
              <w:bottom w:w="50" w:type="dxa"/>
              <w:right w:w="55" w:type="dxa"/>
            </w:tcMar>
          </w:tcPr>
          <w:p w14:paraId="262F37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212 N.E.3d 1234</w:t>
            </w:r>
          </w:p>
        </w:tc>
        <w:tc>
          <w:tcPr>
            <w:tcW w:w="4536" w:type="dxa"/>
            <w:tcMar>
              <w:top w:w="50" w:type="dxa"/>
              <w:left w:w="55" w:type="dxa"/>
              <w:bottom w:w="50" w:type="dxa"/>
              <w:right w:w="55" w:type="dxa"/>
            </w:tcMar>
          </w:tcPr>
          <w:p w14:paraId="7C77CA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DCSA claim requires detrimental reliance and actual injury or loss; a statutory violation alone is insufficient.</w:t>
            </w:r>
          </w:p>
        </w:tc>
        <w:tc>
          <w:tcPr>
            <w:tcW w:w="3643" w:type="dxa"/>
            <w:tcMar>
              <w:top w:w="50" w:type="dxa"/>
              <w:left w:w="55" w:type="dxa"/>
              <w:bottom w:w="50" w:type="dxa"/>
              <w:right w:w="55" w:type="dxa"/>
            </w:tcMar>
          </w:tcPr>
          <w:p w14:paraId="1A95FF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deceptive act, reliance, worsened position, actual loss, and causal link.</w:t>
            </w:r>
          </w:p>
        </w:tc>
      </w:tr>
      <w:tr w:rsidR="00756B19" w:rsidRPr="00566B6A" w14:paraId="4E0975E2" w14:textId="77777777">
        <w:trPr>
          <w:cantSplit/>
          <w:jc w:val="center"/>
        </w:trPr>
        <w:tc>
          <w:tcPr>
            <w:tcW w:w="2232" w:type="dxa"/>
            <w:shd w:val="clear" w:color="auto" w:fill="F7FAFC"/>
            <w:tcMar>
              <w:top w:w="50" w:type="dxa"/>
              <w:left w:w="55" w:type="dxa"/>
              <w:bottom w:w="50" w:type="dxa"/>
              <w:right w:w="55" w:type="dxa"/>
            </w:tcMar>
          </w:tcPr>
          <w:p w14:paraId="2FE13B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McKinney v. State</w:t>
            </w:r>
          </w:p>
        </w:tc>
        <w:tc>
          <w:tcPr>
            <w:tcW w:w="1152" w:type="dxa"/>
            <w:shd w:val="clear" w:color="auto" w:fill="F7FAFC"/>
            <w:tcMar>
              <w:top w:w="50" w:type="dxa"/>
              <w:left w:w="55" w:type="dxa"/>
              <w:bottom w:w="50" w:type="dxa"/>
              <w:right w:w="55" w:type="dxa"/>
            </w:tcMar>
          </w:tcPr>
          <w:p w14:paraId="6EA7277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Ind. Sup. Ct.</w:t>
            </w:r>
          </w:p>
        </w:tc>
        <w:tc>
          <w:tcPr>
            <w:tcW w:w="748" w:type="dxa"/>
            <w:shd w:val="clear" w:color="auto" w:fill="F7FAFC"/>
            <w:tcMar>
              <w:top w:w="50" w:type="dxa"/>
              <w:left w:w="55" w:type="dxa"/>
              <w:bottom w:w="50" w:type="dxa"/>
              <w:right w:w="55" w:type="dxa"/>
            </w:tcMar>
          </w:tcPr>
          <w:p w14:paraId="1DA150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shd w:val="clear" w:color="auto" w:fill="F7FAFC"/>
            <w:tcMar>
              <w:top w:w="50" w:type="dxa"/>
              <w:left w:w="55" w:type="dxa"/>
              <w:bottom w:w="50" w:type="dxa"/>
              <w:right w:w="55" w:type="dxa"/>
            </w:tcMar>
          </w:tcPr>
          <w:p w14:paraId="5091840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693 N.E.2d 65</w:t>
            </w:r>
          </w:p>
        </w:tc>
        <w:tc>
          <w:tcPr>
            <w:tcW w:w="4536" w:type="dxa"/>
            <w:shd w:val="clear" w:color="auto" w:fill="F7FAFC"/>
            <w:tcMar>
              <w:top w:w="50" w:type="dxa"/>
              <w:left w:w="55" w:type="dxa"/>
              <w:bottom w:w="50" w:type="dxa"/>
              <w:right w:w="55" w:type="dxa"/>
            </w:tcMar>
          </w:tcPr>
          <w:p w14:paraId="7983621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Incurable acts require intent to defraud or mislead; most enumerated deceptive acts do not. Fraud-based allegations require particularity.</w:t>
            </w:r>
          </w:p>
        </w:tc>
        <w:tc>
          <w:tcPr>
            <w:tcW w:w="3643" w:type="dxa"/>
            <w:shd w:val="clear" w:color="auto" w:fill="F7FAFC"/>
            <w:tcMar>
              <w:top w:w="50" w:type="dxa"/>
              <w:left w:w="55" w:type="dxa"/>
              <w:bottom w:w="50" w:type="dxa"/>
              <w:right w:w="55" w:type="dxa"/>
            </w:tcMar>
          </w:tcPr>
          <w:p w14:paraId="405669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act; preserve notice/cure history, intent evidence, and the who, what, when, where, and how.</w:t>
            </w:r>
          </w:p>
        </w:tc>
      </w:tr>
      <w:tr w:rsidR="00756B19" w:rsidRPr="00566B6A" w14:paraId="1E395EB8" w14:textId="77777777">
        <w:trPr>
          <w:cantSplit/>
          <w:jc w:val="center"/>
        </w:trPr>
        <w:tc>
          <w:tcPr>
            <w:tcW w:w="2232" w:type="dxa"/>
            <w:tcMar>
              <w:top w:w="50" w:type="dxa"/>
              <w:left w:w="55" w:type="dxa"/>
              <w:bottom w:w="50" w:type="dxa"/>
              <w:right w:w="55" w:type="dxa"/>
            </w:tcMar>
          </w:tcPr>
          <w:p w14:paraId="5BFC4E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Lavallee v. Med-1 Solutions, LLC</w:t>
            </w:r>
          </w:p>
        </w:tc>
        <w:tc>
          <w:tcPr>
            <w:tcW w:w="1152" w:type="dxa"/>
            <w:tcMar>
              <w:top w:w="50" w:type="dxa"/>
              <w:left w:w="55" w:type="dxa"/>
              <w:bottom w:w="50" w:type="dxa"/>
              <w:right w:w="55" w:type="dxa"/>
            </w:tcMar>
          </w:tcPr>
          <w:p w14:paraId="796001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7th Cir.</w:t>
            </w:r>
          </w:p>
        </w:tc>
        <w:tc>
          <w:tcPr>
            <w:tcW w:w="748" w:type="dxa"/>
            <w:tcMar>
              <w:top w:w="50" w:type="dxa"/>
              <w:left w:w="55" w:type="dxa"/>
              <w:bottom w:w="50" w:type="dxa"/>
              <w:right w:w="55" w:type="dxa"/>
            </w:tcMar>
          </w:tcPr>
          <w:p w14:paraId="7333B9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2019</w:t>
            </w:r>
          </w:p>
        </w:tc>
        <w:tc>
          <w:tcPr>
            <w:tcW w:w="2088" w:type="dxa"/>
            <w:tcMar>
              <w:top w:w="50" w:type="dxa"/>
              <w:left w:w="55" w:type="dxa"/>
              <w:bottom w:w="50" w:type="dxa"/>
              <w:right w:w="55" w:type="dxa"/>
            </w:tcMar>
          </w:tcPr>
          <w:p w14:paraId="22602B0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932 F.3d 1049</w:t>
            </w:r>
          </w:p>
        </w:tc>
        <w:tc>
          <w:tcPr>
            <w:tcW w:w="4536" w:type="dxa"/>
            <w:tcMar>
              <w:top w:w="50" w:type="dxa"/>
              <w:left w:w="55" w:type="dxa"/>
              <w:bottom w:w="50" w:type="dxa"/>
              <w:right w:w="55" w:type="dxa"/>
            </w:tcMar>
          </w:tcPr>
          <w:p w14:paraId="5E60A3E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Emails linking to a notice did not themselves convey debt information or FDCPA disclosures; the required written validation notice was not sent.</w:t>
            </w:r>
          </w:p>
        </w:tc>
        <w:tc>
          <w:tcPr>
            <w:tcW w:w="3643" w:type="dxa"/>
            <w:tcMar>
              <w:top w:w="50" w:type="dxa"/>
              <w:left w:w="55" w:type="dxa"/>
              <w:bottom w:w="50" w:type="dxa"/>
              <w:right w:w="55" w:type="dxa"/>
            </w:tcMar>
          </w:tcPr>
          <w:p w14:paraId="3C7CE3B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call, emails, links, access logs, notice, dates, debt information, and proof of delivery.</w:t>
            </w:r>
          </w:p>
        </w:tc>
      </w:tr>
    </w:tbl>
    <w:p w14:paraId="19F36DE5" w14:textId="77777777" w:rsidR="00756B19" w:rsidRPr="00566B6A" w:rsidRDefault="00756B19">
      <w:pPr>
        <w:spacing w:after="20"/>
        <w:rPr>
          <w:rFonts w:ascii="Courier New" w:hAnsi="Courier New" w:cs="Courier New"/>
          <w:sz w:val="22"/>
        </w:rPr>
      </w:pPr>
    </w:p>
    <w:p w14:paraId="2ACBB4B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63E1D2F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TK-Authority-2026-07-IN</w:t>
      </w:r>
    </w:p>
    <w:p w14:paraId="6966FD7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2F16666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IN + WA</w:t>
      </w:r>
    </w:p>
    <w:p w14:paraId="0962F1F5"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lastRenderedPageBreak/>
        <w:t>Update Discipline: Validate citations before use. Indiana statutes were checked against current Indiana Code and agency materials; federal authorities against current U.S. Code and Regulation V materials available July 23, 2026.</w:t>
      </w:r>
    </w:p>
    <w:p w14:paraId="33E8FF7F"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0C9E8D8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39A7ED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7A58AEB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732DB9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351F5D0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0F403387"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Indiana consumer-protection authorities. Laws and interpretations may change. This material is educational only and is not legal advice or representation.</w:t>
      </w:r>
    </w:p>
    <w:p w14:paraId="2D058A0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88DDD8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0579595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Indiana Administrative Code citation by agency, title, article, rule, and section.</w:t>
      </w:r>
    </w:p>
    <w:p w14:paraId="1B6546C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1758466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3091098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47263C8E"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20EDF140"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634CD9AC" w14:textId="77777777" w:rsidR="00BD7EED" w:rsidRDefault="00BD7EED">
      <w:pPr>
        <w:keepLines/>
        <w:spacing w:before="40" w:after="0"/>
        <w:rPr>
          <w:rFonts w:ascii="Courier New" w:hAnsi="Courier New" w:cs="Courier New"/>
          <w:i/>
          <w:color w:val="464646"/>
          <w:sz w:val="22"/>
        </w:rPr>
      </w:pPr>
    </w:p>
    <w:p w14:paraId="164788E2" w14:textId="77777777" w:rsidR="00BD7EED" w:rsidRDefault="00BD7EED">
      <w:pPr>
        <w:keepLines/>
        <w:spacing w:before="40" w:after="0"/>
        <w:rPr>
          <w:rFonts w:ascii="Courier New" w:hAnsi="Courier New" w:cs="Courier New"/>
          <w:i/>
          <w:color w:val="464646"/>
          <w:sz w:val="22"/>
        </w:rPr>
      </w:pPr>
    </w:p>
    <w:p w14:paraId="515B0112" w14:textId="77777777" w:rsidR="00BD7EED" w:rsidRDefault="00BD7EED">
      <w:pPr>
        <w:keepLines/>
        <w:spacing w:before="40" w:after="0"/>
        <w:rPr>
          <w:rFonts w:ascii="Courier New" w:hAnsi="Courier New" w:cs="Courier New"/>
          <w:i/>
          <w:color w:val="464646"/>
          <w:sz w:val="22"/>
        </w:rPr>
      </w:pPr>
    </w:p>
    <w:p w14:paraId="2B44E782" w14:textId="77777777" w:rsidR="00BD7EED" w:rsidRDefault="00BD7EED">
      <w:pPr>
        <w:keepLines/>
        <w:spacing w:before="40" w:after="0"/>
        <w:rPr>
          <w:rFonts w:ascii="Courier New" w:hAnsi="Courier New" w:cs="Courier New"/>
          <w:i/>
          <w:color w:val="464646"/>
          <w:sz w:val="22"/>
        </w:rPr>
      </w:pPr>
    </w:p>
    <w:p w14:paraId="0D722326" w14:textId="77777777" w:rsidR="00BD7EED" w:rsidRDefault="00BD7EED">
      <w:pPr>
        <w:keepLines/>
        <w:spacing w:before="40" w:after="0"/>
        <w:rPr>
          <w:rFonts w:ascii="Courier New" w:hAnsi="Courier New" w:cs="Courier New"/>
          <w:i/>
          <w:color w:val="464646"/>
          <w:sz w:val="22"/>
        </w:rPr>
      </w:pPr>
    </w:p>
    <w:p w14:paraId="6EBB0FC4" w14:textId="77777777" w:rsidR="00BD7EED" w:rsidRDefault="00BD7EED">
      <w:pPr>
        <w:keepLines/>
        <w:spacing w:before="40" w:after="0"/>
        <w:rPr>
          <w:rFonts w:ascii="Courier New" w:hAnsi="Courier New" w:cs="Courier New"/>
          <w:i/>
          <w:color w:val="464646"/>
          <w:sz w:val="22"/>
        </w:rPr>
      </w:pPr>
    </w:p>
    <w:p w14:paraId="1958BD6E" w14:textId="77777777" w:rsidR="00BD7EED" w:rsidRDefault="00BD7EED">
      <w:pPr>
        <w:keepLines/>
        <w:spacing w:before="40" w:after="0"/>
        <w:rPr>
          <w:rFonts w:ascii="Courier New" w:hAnsi="Courier New" w:cs="Courier New"/>
          <w:i/>
          <w:color w:val="464646"/>
          <w:sz w:val="22"/>
        </w:rPr>
      </w:pPr>
    </w:p>
    <w:p w14:paraId="7C67D5BC" w14:textId="77777777" w:rsidR="00BD7EED" w:rsidRDefault="00BD7EED">
      <w:pPr>
        <w:keepLines/>
        <w:spacing w:before="40" w:after="0"/>
        <w:rPr>
          <w:rFonts w:ascii="Courier New" w:hAnsi="Courier New" w:cs="Courier New"/>
          <w:i/>
          <w:color w:val="464646"/>
          <w:sz w:val="22"/>
        </w:rPr>
      </w:pPr>
    </w:p>
    <w:p w14:paraId="367F9704" w14:textId="77777777" w:rsidR="00BD7EED" w:rsidRDefault="00BD7EED">
      <w:pPr>
        <w:keepLines/>
        <w:spacing w:before="40" w:after="0"/>
        <w:rPr>
          <w:rFonts w:ascii="Courier New" w:hAnsi="Courier New" w:cs="Courier New"/>
          <w:i/>
          <w:color w:val="464646"/>
          <w:sz w:val="22"/>
        </w:rPr>
      </w:pPr>
    </w:p>
    <w:p w14:paraId="57D148E5" w14:textId="77777777" w:rsidR="00BD7EED" w:rsidRDefault="00BD7EED">
      <w:pPr>
        <w:keepLines/>
        <w:spacing w:before="40" w:after="0"/>
        <w:rPr>
          <w:rFonts w:ascii="Courier New" w:hAnsi="Courier New" w:cs="Courier New"/>
          <w:i/>
          <w:color w:val="464646"/>
          <w:sz w:val="22"/>
        </w:rPr>
      </w:pPr>
    </w:p>
    <w:p w14:paraId="12E66E3C" w14:textId="77777777" w:rsidR="00BD7EED" w:rsidRDefault="00BD7EED">
      <w:pPr>
        <w:keepLines/>
        <w:spacing w:before="40" w:after="0"/>
        <w:rPr>
          <w:rFonts w:ascii="Courier New" w:hAnsi="Courier New" w:cs="Courier New"/>
          <w:i/>
          <w:color w:val="464646"/>
          <w:sz w:val="22"/>
        </w:rPr>
      </w:pPr>
    </w:p>
    <w:p w14:paraId="2D1F9CA2" w14:textId="77777777" w:rsidR="00BD7EED" w:rsidRDefault="00BD7EED">
      <w:pPr>
        <w:keepLines/>
        <w:spacing w:before="40" w:after="0"/>
        <w:rPr>
          <w:rFonts w:ascii="Courier New" w:hAnsi="Courier New" w:cs="Courier New"/>
          <w:i/>
          <w:color w:val="464646"/>
          <w:sz w:val="22"/>
        </w:rPr>
      </w:pPr>
    </w:p>
    <w:p w14:paraId="30C8CC78" w14:textId="77777777" w:rsidR="00BD7EED" w:rsidRDefault="00BD7EED">
      <w:pPr>
        <w:keepLines/>
        <w:spacing w:before="40" w:after="0"/>
        <w:rPr>
          <w:rFonts w:ascii="Courier New" w:hAnsi="Courier New" w:cs="Courier New"/>
          <w:i/>
          <w:color w:val="464646"/>
          <w:sz w:val="22"/>
        </w:rPr>
      </w:pPr>
    </w:p>
    <w:p w14:paraId="2258D45D" w14:textId="77777777" w:rsidR="00BD7EED" w:rsidRPr="00566B6A" w:rsidRDefault="00BD7EED">
      <w:pPr>
        <w:keepLines/>
        <w:spacing w:before="40" w:after="0"/>
        <w:rPr>
          <w:rFonts w:ascii="Courier New" w:hAnsi="Courier New" w:cs="Courier New"/>
          <w:sz w:val="22"/>
        </w:rPr>
      </w:pPr>
    </w:p>
    <w:p w14:paraId="44D7B32D" w14:textId="77777777" w:rsidR="001243FD" w:rsidRDefault="00FA17F5">
      <w:pPr>
        <w:pageBreakBefore/>
      </w:pPr>
      <w:r>
        <w:rPr>
          <w:color w:val="FFFFFF"/>
          <w:sz w:val="2"/>
        </w:rPr>
        <w:lastRenderedPageBreak/>
        <w:t> </w:t>
      </w:r>
    </w:p>
    <w:sectPr w:rsidR="001243FD"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B32D" w14:textId="77777777" w:rsidR="00FA17F5" w:rsidRDefault="00FA17F5">
      <w:pPr>
        <w:spacing w:after="0" w:line="240" w:lineRule="auto"/>
      </w:pPr>
      <w:r>
        <w:separator/>
      </w:r>
    </w:p>
  </w:endnote>
  <w:endnote w:type="continuationSeparator" w:id="0">
    <w:p w14:paraId="4EA0096A" w14:textId="77777777" w:rsidR="00FA17F5" w:rsidRDefault="00FA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E55B"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E4365" w14:textId="77777777" w:rsidR="00FA17F5" w:rsidRDefault="00FA17F5">
      <w:pPr>
        <w:spacing w:after="0" w:line="240" w:lineRule="auto"/>
      </w:pPr>
      <w:r>
        <w:separator/>
      </w:r>
    </w:p>
  </w:footnote>
  <w:footnote w:type="continuationSeparator" w:id="0">
    <w:p w14:paraId="5F66E1E4" w14:textId="77777777" w:rsidR="00FA17F5" w:rsidRDefault="00FA1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C64B" w14:textId="77777777" w:rsidR="00756B19" w:rsidRDefault="00F247EE">
    <w:pPr>
      <w:pStyle w:val="Header"/>
      <w:jc w:val="right"/>
    </w:pPr>
    <w:r>
      <w:rPr>
        <w:b/>
        <w:color w:val="505050"/>
        <w:sz w:val="15"/>
      </w:rPr>
      <w:t>GLADIC AI™ — SECTION 3A | INDIANA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243FD"/>
    <w:rsid w:val="0015074B"/>
    <w:rsid w:val="0029639D"/>
    <w:rsid w:val="00326F90"/>
    <w:rsid w:val="00463F22"/>
    <w:rsid w:val="00566B6A"/>
    <w:rsid w:val="00655F05"/>
    <w:rsid w:val="006F27AD"/>
    <w:rsid w:val="00736F61"/>
    <w:rsid w:val="00756B19"/>
    <w:rsid w:val="00964317"/>
    <w:rsid w:val="00AA1D8D"/>
    <w:rsid w:val="00B47730"/>
    <w:rsid w:val="00BD7EED"/>
    <w:rsid w:val="00C94828"/>
    <w:rsid w:val="00CB0664"/>
    <w:rsid w:val="00F247EE"/>
    <w:rsid w:val="00FA1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6A3B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4183</Words>
  <Characters>23845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2026-07-24T05:29:00Z</dcterms:created>
  <dcterms:modified xsi:type="dcterms:W3CDTF">2026-07-24T05:29:00Z</dcterms:modified>
  <cp:category/>
</cp:coreProperties>
</file>